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D2" w:rsidRDefault="00CC65D2" w:rsidP="00284E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Доступная среда: подведены итоги </w:t>
      </w:r>
      <w:r w:rsidR="00333EC3"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социологического </w:t>
      </w:r>
      <w:r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опроса населения, нацеленного на </w:t>
      </w:r>
      <w:r w:rsidR="00D6611A"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оценку уровня доступности приоритетных объектов</w:t>
      </w:r>
      <w:r w:rsidR="0093262E"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</w:t>
      </w:r>
      <w:r w:rsidR="00D6611A"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отношения </w:t>
      </w:r>
      <w:r w:rsidR="0093262E"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людей без инвалидности </w:t>
      </w:r>
      <w:r w:rsidR="00D6611A"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проблемам </w:t>
      </w:r>
      <w:r w:rsidRPr="00284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инвалидов</w:t>
      </w:r>
    </w:p>
    <w:p w:rsidR="00284E7A" w:rsidRPr="00284E7A" w:rsidRDefault="00284E7A" w:rsidP="00284E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62E" w:rsidRPr="00284E7A" w:rsidRDefault="00CC65D2" w:rsidP="00284E7A">
      <w:pPr>
        <w:pStyle w:val="a4"/>
        <w:spacing w:before="0" w:beforeAutospacing="0" w:after="0" w:afterAutospacing="0"/>
        <w:rPr>
          <w:iCs/>
        </w:rPr>
      </w:pPr>
      <w:r w:rsidRPr="00284E7A">
        <w:t xml:space="preserve">Подведены итоги </w:t>
      </w:r>
      <w:r w:rsidR="002E0FA0" w:rsidRPr="00284E7A">
        <w:t xml:space="preserve">социологического </w:t>
      </w:r>
      <w:r w:rsidRPr="00284E7A">
        <w:t xml:space="preserve">опроса </w:t>
      </w:r>
      <w:r w:rsidR="002E0FA0" w:rsidRPr="00284E7A">
        <w:rPr>
          <w:iCs/>
        </w:rPr>
        <w:t xml:space="preserve">по оценке уровня доступности приоритетных и </w:t>
      </w:r>
      <w:proofErr w:type="gramStart"/>
      <w:r w:rsidR="002E0FA0" w:rsidRPr="00284E7A">
        <w:rPr>
          <w:iCs/>
        </w:rPr>
        <w:t>иных социально-значимых объектов</w:t>
      </w:r>
      <w:proofErr w:type="gramEnd"/>
      <w:r w:rsidR="002E0FA0" w:rsidRPr="00284E7A">
        <w:rPr>
          <w:iCs/>
        </w:rPr>
        <w:t xml:space="preserve"> и услуг в приоритетных сферах жизнедеятельности, отношении населения к проблемам инвалидов</w:t>
      </w:r>
      <w:r w:rsidR="00316AA4" w:rsidRPr="00284E7A">
        <w:rPr>
          <w:iCs/>
        </w:rPr>
        <w:t xml:space="preserve"> </w:t>
      </w:r>
      <w:r w:rsidR="00316AA4" w:rsidRPr="00284E7A">
        <w:rPr>
          <w:iCs/>
        </w:rPr>
        <w:t>в городском округе Октябрьск.</w:t>
      </w:r>
      <w:r w:rsidR="00316AA4" w:rsidRPr="00284E7A">
        <w:rPr>
          <w:iCs/>
        </w:rPr>
        <w:t xml:space="preserve"> Опрос был проведен в</w:t>
      </w:r>
      <w:r w:rsidR="00316AA4" w:rsidRPr="00284E7A">
        <w:rPr>
          <w:iCs/>
        </w:rPr>
        <w:t xml:space="preserve"> рамках реализации государственной программы «Доступная среда» с 15 </w:t>
      </w:r>
      <w:r w:rsidR="00206A8A" w:rsidRPr="00284E7A">
        <w:rPr>
          <w:iCs/>
        </w:rPr>
        <w:t>с</w:t>
      </w:r>
      <w:r w:rsidR="00316AA4" w:rsidRPr="00284E7A">
        <w:rPr>
          <w:iCs/>
        </w:rPr>
        <w:t>ентября по 15 октября 2020 года</w:t>
      </w:r>
      <w:r w:rsidR="0093262E" w:rsidRPr="00284E7A">
        <w:rPr>
          <w:iCs/>
        </w:rPr>
        <w:t>.</w:t>
      </w:r>
    </w:p>
    <w:p w:rsidR="00CC65D2" w:rsidRDefault="00CC65D2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анкетировании принял</w:t>
      </w:r>
      <w:r w:rsidR="00E723A6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5</w:t>
      </w:r>
      <w:r w:rsidR="00E723A6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9 человек</w:t>
      </w:r>
      <w:r w:rsidR="00685AE1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</w:t>
      </w:r>
      <w:r w:rsidR="00E723A6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которых – 83,1% 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 и </w:t>
      </w:r>
      <w:r w:rsidR="00E723A6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16,9% 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мужчин.</w:t>
      </w:r>
    </w:p>
    <w:p w:rsidR="00284E7A" w:rsidRPr="00284E7A" w:rsidRDefault="00284E7A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C9" w:rsidRPr="00284E7A" w:rsidRDefault="0097658B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2E01" w:rsidRDefault="00CC65D2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среди опрашиваемых преобладали респ</w:t>
      </w:r>
      <w:r w:rsidR="00E80CB8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онденты в возрасте моложе 50 лет, преимущественно от 31 до 40 лет – 26 человек (44%)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всех участников опроса инвалидность имеют </w:t>
      </w:r>
      <w:r w:rsidR="00271FC7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71FC7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4ED3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6D4ED3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которых 1 человек имеет ДЦП, 1 человек –инвалид по слуху, 1 человек – инвалид по общему заболеванию, 1 человек – инвалид, имеющий нарушения опорно-двигательного аппарата</w:t>
      </w:r>
      <w:r w:rsidR="00231007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ограничения в передвижении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E7A" w:rsidRPr="00284E7A" w:rsidRDefault="00284E7A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94A" w:rsidRDefault="00512E01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183148"/>
            <wp:effectExtent l="0" t="0" r="0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68FC" w:rsidRDefault="00EE294A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диаграммы, в опросе участвовали граждане, проживающие в разных районах города. Большинство участников из районов «Центр» – 17 человек и «Перевалка» - 9 человек, что указывает на активность жителей из разных «концов» города.  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проведения опроса были получены следующие сведения: </w:t>
      </w:r>
    </w:p>
    <w:p w:rsidR="00CC65D2" w:rsidRPr="00284E7A" w:rsidRDefault="00B268FC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88,1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опрашиваемых знают, что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реализуется целевая долгосрочная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государственная 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«Доступная среда».</w:t>
      </w:r>
    </w:p>
    <w:p w:rsidR="0001683A" w:rsidRDefault="00CC65D2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респондентов оценили отношение общества к проблемам людей с ин</w:t>
      </w:r>
      <w:r w:rsidR="00960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валидностью как положительное (2</w:t>
      </w:r>
      <w:r w:rsidR="00FB2785">
        <w:rPr>
          <w:rFonts w:ascii="Times New Roman" w:eastAsia="Times New Roman" w:hAnsi="Times New Roman" w:cs="Times New Roman"/>
          <w:sz w:val="24"/>
          <w:szCs w:val="24"/>
          <w:lang w:eastAsia="ru-RU"/>
        </w:rPr>
        <w:t>8,8</w:t>
      </w:r>
      <w:r w:rsidR="00960D88">
        <w:rPr>
          <w:rFonts w:ascii="Times New Roman" w:eastAsia="Times New Roman" w:hAnsi="Times New Roman" w:cs="Times New Roman"/>
          <w:sz w:val="24"/>
          <w:szCs w:val="24"/>
          <w:lang w:eastAsia="ru-RU"/>
        </w:rPr>
        <w:t>% дали ответ «положительное», 39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% – «скорее положительное</w:t>
      </w:r>
      <w:r w:rsidR="00960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отрицательное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1683A" w:rsidRDefault="0001683A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683A" w:rsidRDefault="0001683A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4CE" w:rsidRDefault="00CC65D2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опроса 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>37,3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% опрашиваемых отметили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в отношении 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проблемам инвалидов 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при этом </w:t>
      </w:r>
      <w:r w:rsidR="00CE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заметили каких-либо 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="00CE0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747">
        <w:rPr>
          <w:rFonts w:ascii="Times New Roman" w:eastAsia="Times New Roman" w:hAnsi="Times New Roman" w:cs="Times New Roman"/>
          <w:sz w:val="24"/>
          <w:szCs w:val="24"/>
          <w:lang w:eastAsia="ru-RU"/>
        </w:rPr>
        <w:t>50,8% респондентов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06B2" w:rsidRDefault="00BE54CE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</w:t>
      </w:r>
      <w:r w:rsidRPr="00BE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</w:t>
      </w:r>
      <w:r w:rsidRPr="00BE5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BE5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для инвалидов и других маломобильных групп населения в нашем 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участники опроса </w:t>
      </w:r>
      <w:r w:rsid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</w:t>
      </w:r>
      <w:r w:rsidRPr="00BE54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306B2" w:rsidRP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здания органов местной и государственной власти</w:t>
      </w:r>
      <w:r w:rsid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частично доступно (69,5%);</w:t>
      </w:r>
    </w:p>
    <w:p w:rsidR="00E306B2" w:rsidRPr="00E306B2" w:rsidRDefault="00E306B2" w:rsidP="00E3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доступно (57,6%);</w:t>
      </w:r>
    </w:p>
    <w:p w:rsidR="00E306B2" w:rsidRPr="00E306B2" w:rsidRDefault="00E306B2" w:rsidP="00E3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Здания Пенсионного фонда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социального страхования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мнения разделились в одинаковом соотношении: частично доступно (32,2%) и недоступно (32,2%);</w:t>
      </w:r>
    </w:p>
    <w:p w:rsidR="00E306B2" w:rsidRDefault="00E306B2" w:rsidP="00E3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Здания органов социальной защиты населения и учреждений социального обслуживания</w:t>
      </w:r>
      <w:r w:rsidR="001B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частично доступно (42,4%);</w:t>
      </w:r>
    </w:p>
    <w:p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Поликлиники, больницы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доступно (55,9%);</w:t>
      </w:r>
    </w:p>
    <w:p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Аптеки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частично доступно (62,7%);</w:t>
      </w:r>
    </w:p>
    <w:p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Отделения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доступно (42,4%);</w:t>
      </w:r>
    </w:p>
    <w:p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Магазины, торговые центры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доступно (6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Организации общественного питания (кафе, кофейни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Учреждения культуры (кинотеатры, библиотеки, музеи, дома культуры)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доступно (45,8%);</w:t>
      </w:r>
    </w:p>
    <w:p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Образовательные учреждения (школы, ДОУ, ДШИ, училище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Спортивные учреждения (бассейны, стадионы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доступно (42,4%);</w:t>
      </w:r>
    </w:p>
    <w:p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Пешеходные тротуары, переходы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CC" w:rsidRPr="00500DCC" w:rsidRDefault="00500DCC" w:rsidP="0050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C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Транспорт общего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недоступно (78%)</w:t>
      </w:r>
      <w:r w:rsidR="00EA4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C65" w:rsidRPr="00E306B2" w:rsidRDefault="00EA4C65" w:rsidP="00EA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6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Места и зоны отдыха (парки, скверы)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разделились в соотношении: доступно (3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 (3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EA4C65" w:rsidRPr="00500DCC" w:rsidRDefault="00EA4C65" w:rsidP="00EA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6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Жилые дома (многоквартирные)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C65" w:rsidRDefault="00A85350" w:rsidP="00EA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имеется комментарий к категории «Другое» о том, что </w:t>
      </w:r>
      <w:r w:rsidR="000B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перевозку людей с ограниченными возможностями здоровья и приобрести адаптированный для </w:t>
      </w:r>
      <w:r w:rsidR="000B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инвалидов-колясочников общественный транспорт.</w:t>
      </w:r>
    </w:p>
    <w:p w:rsidR="00A85350" w:rsidRPr="00EA4C65" w:rsidRDefault="00A85350" w:rsidP="00EA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B2" w:rsidRDefault="008B3374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2575" cy="3994031"/>
            <wp:effectExtent l="0" t="0" r="7620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06B2" w:rsidRDefault="00E306B2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24E" w:rsidRDefault="00762643" w:rsidP="0076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оказался вопрос о 5-ти </w:t>
      </w:r>
      <w:r w:rsidRPr="00762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9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сфер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</w:t>
      </w:r>
      <w:r w:rsidRPr="00762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быть приспособлены для инвалидов и других маломобильных групп населения в первую 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диаграммы, </w:t>
      </w:r>
      <w:r w:rsidR="00ED2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</w:t>
      </w:r>
      <w:r w:rsidR="00ED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участников опроса </w:t>
      </w:r>
      <w:bookmarkStart w:id="0" w:name="_GoBack"/>
      <w:bookmarkEnd w:id="0"/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нуждаются в приспособлении: </w:t>
      </w:r>
    </w:p>
    <w:p w:rsidR="0068624E" w:rsidRDefault="0068624E" w:rsidP="0076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оликлиники и больницы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ответов 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>(84,7%)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24E" w:rsidRDefault="0068624E" w:rsidP="0076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Ж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илые 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46 ответов </w:t>
      </w:r>
      <w:r w:rsidR="00C918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78%);</w:t>
      </w:r>
    </w:p>
    <w:p w:rsidR="00762643" w:rsidRDefault="0068624E" w:rsidP="0076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Аптеки – 38 ответов (64,4%);</w:t>
      </w:r>
    </w:p>
    <w:p w:rsidR="00D57F2A" w:rsidRDefault="00D57F2A" w:rsidP="0076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общего пользования - 36 ответов (61%);</w:t>
      </w:r>
    </w:p>
    <w:p w:rsidR="0068624E" w:rsidRDefault="00D57F2A" w:rsidP="0076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86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оказания социальных услуг – 35 ответов (59,3%)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7F2A" w:rsidRDefault="00D57F2A" w:rsidP="0076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Пешеходные тротуары, переходы – 35 ответов (59,3%).</w:t>
      </w:r>
    </w:p>
    <w:p w:rsidR="00CC65D2" w:rsidRPr="00284E7A" w:rsidRDefault="007F715F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</w:t>
      </w:r>
      <w:r w:rsidR="00F6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указанной оценки степени доступности объектов </w:t>
      </w:r>
      <w:r w:rsidR="00F65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и выявленной пятёрки первоочередных объектов для приспособления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5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участниками опроса </w:t>
      </w:r>
      <w:r w:rsidR="00F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объекты, как: 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поликлиники, больницы, аптеки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 оказания социальных услуг и </w:t>
      </w:r>
      <w:r w:rsidR="007C4963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пешеходные тротуары и переходы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доступными и 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F54C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к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недоступным </w:t>
      </w:r>
      <w:r w:rsidR="00F5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 города </w:t>
      </w:r>
      <w:r w:rsidR="00F0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отнесли </w:t>
      </w:r>
      <w:r w:rsidR="00CC65D2" w:rsidRPr="00284E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общего пользования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жилые многоквартирные дома, на </w:t>
      </w:r>
      <w:r w:rsidR="004C0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обращено </w:t>
      </w:r>
      <w:r w:rsidR="007C4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формировании доступной среды в городском округе на последующие годы.</w:t>
      </w:r>
    </w:p>
    <w:p w:rsidR="00647403" w:rsidRPr="00284E7A" w:rsidRDefault="00B64D69" w:rsidP="00284E7A">
      <w:pPr>
        <w:spacing w:after="0" w:line="240" w:lineRule="auto"/>
        <w:rPr>
          <w:sz w:val="24"/>
          <w:szCs w:val="24"/>
        </w:rPr>
      </w:pPr>
    </w:p>
    <w:p w:rsidR="00CC65D2" w:rsidRDefault="005800A2" w:rsidP="00284E7A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762445" cy="3648974"/>
            <wp:effectExtent l="0" t="0" r="10160" b="88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1164" w:rsidRPr="00284E7A" w:rsidRDefault="00501164" w:rsidP="00284E7A">
      <w:pPr>
        <w:pStyle w:val="a4"/>
        <w:spacing w:before="0" w:beforeAutospacing="0" w:after="0" w:afterAutospacing="0"/>
      </w:pPr>
    </w:p>
    <w:p w:rsidR="00222855" w:rsidRPr="00ED362F" w:rsidRDefault="00222855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опроса </w:t>
      </w:r>
      <w:r w:rsidR="00FC3481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выяснено, в каком темпе осуществ</w:t>
      </w:r>
      <w:r w:rsidR="00501164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работа по приспособлению</w:t>
      </w:r>
      <w:r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(оборудовани</w:t>
      </w:r>
      <w:r w:rsidR="00501164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объектов социального и иного назначения для инвалидов в </w:t>
      </w:r>
      <w:r w:rsidR="00DD59C0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проживания респондентов (м</w:t>
      </w:r>
      <w:r w:rsidR="00501164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икрорайонах города</w:t>
      </w:r>
      <w:r w:rsidR="00DD59C0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1164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59C0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="00FC3481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опроса</w:t>
      </w:r>
      <w:r w:rsidR="00DD59C0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работа осуществляется, но медленно (28,8% дали ответ «практически не осуществляется», 25,4% - «да, но медленно»). </w:t>
      </w:r>
    </w:p>
    <w:p w:rsidR="00DD7759" w:rsidRDefault="00DD7759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анкетирования </w:t>
      </w:r>
      <w:r w:rsidR="00ED362F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52,5% опрашиваемых оценили в целом уровень </w:t>
      </w:r>
      <w:r w:rsidR="00ED362F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объектов и услуг для инвалидов и других маломобильных групп населения в Октябрьске в различных сферах жизнедеятельности</w:t>
      </w:r>
      <w:r w:rsidR="00ED362F" w:rsidRPr="00ED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скорее положительно, чем отрицательно.</w:t>
      </w:r>
    </w:p>
    <w:p w:rsidR="004A569C" w:rsidRDefault="004A569C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93" w:rsidRDefault="00B93493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подводя итоги 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 населения </w:t>
      </w:r>
      <w:r w:rsidR="00D5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вывод о том, что на территории городского округа </w:t>
      </w:r>
      <w:r w:rsid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быстро, но эффективно реализуется 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«Доступная среда» в рамках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69C" w:rsidRP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«Создание безбарьерной среды жизнедеятельности для инвалидов и других маломобильных граждан в городском округе Октябрьск» на 2017- 2021 годы.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поэтапное приспособление приоритетных объектов с целью 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 доступа к 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услугам в приоритетных сферах жизнедеятельности инвалидов и других маломобильных групп населения. </w:t>
      </w:r>
    </w:p>
    <w:p w:rsidR="00FC48E6" w:rsidRPr="00FC48E6" w:rsidRDefault="00DF2672" w:rsidP="00FC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2021 года п</w:t>
      </w:r>
      <w:r w:rsidR="004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ланируется дальнейшее </w:t>
      </w:r>
      <w:r w:rsid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уровня доступности приоритетных </w:t>
      </w:r>
      <w:r w:rsidR="00D0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востребованных </w:t>
      </w:r>
      <w:r w:rsidR="00B1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данному опросу 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48253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созданию условий для интеграции инвалидов и других </w:t>
      </w:r>
      <w:r w:rsid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 групп населения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общество и повышению качества </w:t>
      </w:r>
      <w:r w:rsid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FC48E6" w:rsidRPr="00FC48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в современных условиях.</w:t>
      </w:r>
    </w:p>
    <w:p w:rsidR="00FC48E6" w:rsidRPr="00ED362F" w:rsidRDefault="00FC48E6" w:rsidP="0028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48E6" w:rsidRPr="00ED362F" w:rsidSect="00284E7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25"/>
    <w:multiLevelType w:val="multilevel"/>
    <w:tmpl w:val="46D6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D2"/>
    <w:rsid w:val="0001683A"/>
    <w:rsid w:val="00025664"/>
    <w:rsid w:val="000974CD"/>
    <w:rsid w:val="000B00C6"/>
    <w:rsid w:val="001328EF"/>
    <w:rsid w:val="00146FC6"/>
    <w:rsid w:val="00151239"/>
    <w:rsid w:val="001B3C4C"/>
    <w:rsid w:val="00206A8A"/>
    <w:rsid w:val="00222855"/>
    <w:rsid w:val="00231007"/>
    <w:rsid w:val="00271FC7"/>
    <w:rsid w:val="00284E7A"/>
    <w:rsid w:val="002B1E53"/>
    <w:rsid w:val="002E0FA0"/>
    <w:rsid w:val="00316AA4"/>
    <w:rsid w:val="00333EC3"/>
    <w:rsid w:val="00364560"/>
    <w:rsid w:val="003772D3"/>
    <w:rsid w:val="003D2454"/>
    <w:rsid w:val="003D7747"/>
    <w:rsid w:val="003E17E7"/>
    <w:rsid w:val="00425DC0"/>
    <w:rsid w:val="00445B09"/>
    <w:rsid w:val="00461764"/>
    <w:rsid w:val="00467624"/>
    <w:rsid w:val="00482539"/>
    <w:rsid w:val="004A569C"/>
    <w:rsid w:val="004C0948"/>
    <w:rsid w:val="004D7DC9"/>
    <w:rsid w:val="00500DCC"/>
    <w:rsid w:val="00501164"/>
    <w:rsid w:val="00512E01"/>
    <w:rsid w:val="005800A2"/>
    <w:rsid w:val="005A201F"/>
    <w:rsid w:val="005B5C6B"/>
    <w:rsid w:val="0061106A"/>
    <w:rsid w:val="00685AE1"/>
    <w:rsid w:val="0068624E"/>
    <w:rsid w:val="006D4ED3"/>
    <w:rsid w:val="00762643"/>
    <w:rsid w:val="007C4963"/>
    <w:rsid w:val="007F715F"/>
    <w:rsid w:val="008B3374"/>
    <w:rsid w:val="0093262E"/>
    <w:rsid w:val="00960D88"/>
    <w:rsid w:val="0097658B"/>
    <w:rsid w:val="00A02843"/>
    <w:rsid w:val="00A85350"/>
    <w:rsid w:val="00B16110"/>
    <w:rsid w:val="00B268FC"/>
    <w:rsid w:val="00B36397"/>
    <w:rsid w:val="00B446A0"/>
    <w:rsid w:val="00B64D69"/>
    <w:rsid w:val="00B93493"/>
    <w:rsid w:val="00BE54CE"/>
    <w:rsid w:val="00C21F79"/>
    <w:rsid w:val="00C23E4F"/>
    <w:rsid w:val="00C43E01"/>
    <w:rsid w:val="00C9186C"/>
    <w:rsid w:val="00CC65D2"/>
    <w:rsid w:val="00CE0855"/>
    <w:rsid w:val="00CE49ED"/>
    <w:rsid w:val="00D03BEE"/>
    <w:rsid w:val="00D50D6D"/>
    <w:rsid w:val="00D57F2A"/>
    <w:rsid w:val="00D637EE"/>
    <w:rsid w:val="00D6611A"/>
    <w:rsid w:val="00DD59C0"/>
    <w:rsid w:val="00DD7652"/>
    <w:rsid w:val="00DD7759"/>
    <w:rsid w:val="00DF2672"/>
    <w:rsid w:val="00E162EB"/>
    <w:rsid w:val="00E2148B"/>
    <w:rsid w:val="00E306B2"/>
    <w:rsid w:val="00E4602B"/>
    <w:rsid w:val="00E723A6"/>
    <w:rsid w:val="00E80CB8"/>
    <w:rsid w:val="00EA4C65"/>
    <w:rsid w:val="00ED212E"/>
    <w:rsid w:val="00ED362F"/>
    <w:rsid w:val="00EE294A"/>
    <w:rsid w:val="00F036A9"/>
    <w:rsid w:val="00F26343"/>
    <w:rsid w:val="00F417D9"/>
    <w:rsid w:val="00F54CB6"/>
    <w:rsid w:val="00F65086"/>
    <w:rsid w:val="00F91997"/>
    <w:rsid w:val="00FB2785"/>
    <w:rsid w:val="00FC3481"/>
    <w:rsid w:val="00FC48E6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D0AF"/>
  <w15:chartTrackingRefBased/>
  <w15:docId w15:val="{76E5729C-DF98-4E50-9505-675F8E86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6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CC65D2"/>
  </w:style>
  <w:style w:type="character" w:customStyle="1" w:styleId="fe-published-day">
    <w:name w:val="fe-published-day"/>
    <w:basedOn w:val="a0"/>
    <w:rsid w:val="00CC65D2"/>
  </w:style>
  <w:style w:type="character" w:styleId="a3">
    <w:name w:val="Hyperlink"/>
    <w:basedOn w:val="a0"/>
    <w:uiPriority w:val="99"/>
    <w:semiHidden/>
    <w:unhideWhenUsed/>
    <w:rsid w:val="00CC65D2"/>
    <w:rPr>
      <w:color w:val="0000FF"/>
      <w:u w:val="single"/>
    </w:rPr>
  </w:style>
  <w:style w:type="character" w:customStyle="1" w:styleId="fe-published-month">
    <w:name w:val="fe-published-month"/>
    <w:basedOn w:val="a0"/>
    <w:rsid w:val="00CC65D2"/>
  </w:style>
  <w:style w:type="character" w:customStyle="1" w:styleId="fe-published-year">
    <w:name w:val="fe-published-year"/>
    <w:basedOn w:val="a0"/>
    <w:rsid w:val="00CC65D2"/>
  </w:style>
  <w:style w:type="character" w:customStyle="1" w:styleId="fe-published-time">
    <w:name w:val="fe-published-time"/>
    <w:basedOn w:val="a0"/>
    <w:rsid w:val="00CC65D2"/>
  </w:style>
  <w:style w:type="character" w:customStyle="1" w:styleId="fe-item-tags">
    <w:name w:val="fe-item-tags"/>
    <w:basedOn w:val="a0"/>
    <w:rsid w:val="00CC65D2"/>
  </w:style>
  <w:style w:type="paragraph" w:styleId="a4">
    <w:name w:val="Normal (Web)"/>
    <w:basedOn w:val="a"/>
    <w:uiPriority w:val="99"/>
    <w:unhideWhenUsed/>
    <w:rsid w:val="00CC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n-descr">
    <w:name w:val="fn-descr"/>
    <w:basedOn w:val="a0"/>
    <w:rsid w:val="00CC65D2"/>
  </w:style>
  <w:style w:type="character" w:customStyle="1" w:styleId="vote-answer-item">
    <w:name w:val="vote-answer-item"/>
    <w:basedOn w:val="a0"/>
    <w:rsid w:val="0023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 опрашиваемых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(чел.)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26</c:v>
                </c:pt>
                <c:pt idx="2">
                  <c:v>12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6-4AF6-8E22-3E9CAFDEAB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 (%)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44</c:v>
                </c:pt>
                <c:pt idx="2">
                  <c:v>20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36-4AF6-8E22-3E9CAFDEAB7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62764832"/>
        <c:axId val="262766800"/>
      </c:barChart>
      <c:catAx>
        <c:axId val="262764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766800"/>
        <c:crosses val="autoZero"/>
        <c:auto val="1"/>
        <c:lblAlgn val="ctr"/>
        <c:lblOffset val="100"/>
        <c:noMultiLvlLbl val="0"/>
      </c:catAx>
      <c:valAx>
        <c:axId val="262766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76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Место проживания (микрорайон)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 проживания (район)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Центр</c:v>
                </c:pt>
                <c:pt idx="1">
                  <c:v>Правая Волга</c:v>
                </c:pt>
                <c:pt idx="2">
                  <c:v>Совхоз</c:v>
                </c:pt>
                <c:pt idx="3">
                  <c:v>Автохозяйство</c:v>
                </c:pt>
                <c:pt idx="4">
                  <c:v>Перевалка</c:v>
                </c:pt>
                <c:pt idx="5">
                  <c:v>Пристань</c:v>
                </c:pt>
                <c:pt idx="6">
                  <c:v>Костычи</c:v>
                </c:pt>
                <c:pt idx="7">
                  <c:v>Первомайск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9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A6-49EE-BD69-864FED07396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53524304"/>
        <c:axId val="353523976"/>
      </c:barChart>
      <c:catAx>
        <c:axId val="35352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523976"/>
        <c:crosses val="autoZero"/>
        <c:auto val="1"/>
        <c:lblAlgn val="ctr"/>
        <c:lblOffset val="100"/>
        <c:noMultiLvlLbl val="0"/>
      </c:catAx>
      <c:valAx>
        <c:axId val="353523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352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к проблемам инвалидов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9E0-44D7-AE6B-80E0E88074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A9E0-44D7-AE6B-80E0E880745E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9E0-44D7-AE6B-80E0E88074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A9E0-44D7-AE6B-80E0E880745E}"/>
              </c:ext>
            </c:extLst>
          </c:dPt>
          <c:dPt>
            <c:idx val="4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9E0-44D7-AE6B-80E0E880745E}"/>
              </c:ext>
            </c:extLst>
          </c:dPt>
          <c:dLbls>
            <c:numFmt formatCode="0.0%" sourceLinked="0"/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отношение положительное </c:v>
                </c:pt>
                <c:pt idx="1">
                  <c:v>скорее положительное, чем отрицательное </c:v>
                </c:pt>
                <c:pt idx="2">
                  <c:v>скорее отрицательное, чем положительное </c:v>
                </c:pt>
                <c:pt idx="3">
                  <c:v>отрицательное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28.8</c:v>
                </c:pt>
                <c:pt idx="1">
                  <c:v>39</c:v>
                </c:pt>
                <c:pt idx="2">
                  <c:v>13.6</c:v>
                </c:pt>
                <c:pt idx="3">
                  <c:v>10.1</c:v>
                </c:pt>
                <c:pt idx="4">
                  <c:v>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0-44D7-AE6B-80E0E880745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Первоочередные сферы для приспособления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ответов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Административные здания</c:v>
                </c:pt>
                <c:pt idx="1">
                  <c:v>Места оказания социальных услуг </c:v>
                </c:pt>
                <c:pt idx="2">
                  <c:v>Поликлиники, больницы </c:v>
                </c:pt>
                <c:pt idx="3">
                  <c:v>Аптеки</c:v>
                </c:pt>
                <c:pt idx="4">
                  <c:v>Отделения связи </c:v>
                </c:pt>
                <c:pt idx="5">
                  <c:v>Магазины, торговые центры </c:v>
                </c:pt>
                <c:pt idx="6">
                  <c:v>Организации общественного питания </c:v>
                </c:pt>
                <c:pt idx="7">
                  <c:v>Учреждения культуры  </c:v>
                </c:pt>
                <c:pt idx="8">
                  <c:v>Образовательные учреждения </c:v>
                </c:pt>
                <c:pt idx="9">
                  <c:v>Спортивные учреждения </c:v>
                </c:pt>
                <c:pt idx="10">
                  <c:v>Пешеходные тротуары, переходы </c:v>
                </c:pt>
                <c:pt idx="11">
                  <c:v>Транспорт общего пользования </c:v>
                </c:pt>
                <c:pt idx="12">
                  <c:v>Места и зоны отдыха </c:v>
                </c:pt>
                <c:pt idx="13">
                  <c:v>Жилые дома многоквартирные</c:v>
                </c:pt>
                <c:pt idx="14">
                  <c:v>Другое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23</c:v>
                </c:pt>
                <c:pt idx="1">
                  <c:v>35</c:v>
                </c:pt>
                <c:pt idx="2">
                  <c:v>50</c:v>
                </c:pt>
                <c:pt idx="3">
                  <c:v>38</c:v>
                </c:pt>
                <c:pt idx="4">
                  <c:v>16</c:v>
                </c:pt>
                <c:pt idx="5">
                  <c:v>30</c:v>
                </c:pt>
                <c:pt idx="6">
                  <c:v>12</c:v>
                </c:pt>
                <c:pt idx="7">
                  <c:v>15</c:v>
                </c:pt>
                <c:pt idx="8">
                  <c:v>17</c:v>
                </c:pt>
                <c:pt idx="9">
                  <c:v>15</c:v>
                </c:pt>
                <c:pt idx="10">
                  <c:v>35</c:v>
                </c:pt>
                <c:pt idx="11">
                  <c:v>36</c:v>
                </c:pt>
                <c:pt idx="12">
                  <c:v>15</c:v>
                </c:pt>
                <c:pt idx="13">
                  <c:v>46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23-4BA5-8030-33A38FAC9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в 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Административные здания</c:v>
                </c:pt>
                <c:pt idx="1">
                  <c:v>Места оказания социальных услуг </c:v>
                </c:pt>
                <c:pt idx="2">
                  <c:v>Поликлиники, больницы </c:v>
                </c:pt>
                <c:pt idx="3">
                  <c:v>Аптеки</c:v>
                </c:pt>
                <c:pt idx="4">
                  <c:v>Отделения связи </c:v>
                </c:pt>
                <c:pt idx="5">
                  <c:v>Магазины, торговые центры </c:v>
                </c:pt>
                <c:pt idx="6">
                  <c:v>Организации общественного питания </c:v>
                </c:pt>
                <c:pt idx="7">
                  <c:v>Учреждения культуры  </c:v>
                </c:pt>
                <c:pt idx="8">
                  <c:v>Образовательные учреждения </c:v>
                </c:pt>
                <c:pt idx="9">
                  <c:v>Спортивные учреждения </c:v>
                </c:pt>
                <c:pt idx="10">
                  <c:v>Пешеходные тротуары, переходы </c:v>
                </c:pt>
                <c:pt idx="11">
                  <c:v>Транспорт общего пользования </c:v>
                </c:pt>
                <c:pt idx="12">
                  <c:v>Места и зоны отдыха </c:v>
                </c:pt>
                <c:pt idx="13">
                  <c:v>Жилые дома многоквартирные</c:v>
                </c:pt>
                <c:pt idx="14">
                  <c:v>Другое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39</c:v>
                </c:pt>
                <c:pt idx="1">
                  <c:v>59.3</c:v>
                </c:pt>
                <c:pt idx="2">
                  <c:v>84.7</c:v>
                </c:pt>
                <c:pt idx="3">
                  <c:v>64.400000000000006</c:v>
                </c:pt>
                <c:pt idx="4">
                  <c:v>27.1</c:v>
                </c:pt>
                <c:pt idx="5">
                  <c:v>50.8</c:v>
                </c:pt>
                <c:pt idx="6">
                  <c:v>20.3</c:v>
                </c:pt>
                <c:pt idx="7">
                  <c:v>25.4</c:v>
                </c:pt>
                <c:pt idx="8">
                  <c:v>28.8</c:v>
                </c:pt>
                <c:pt idx="9">
                  <c:v>25.4</c:v>
                </c:pt>
                <c:pt idx="10">
                  <c:v>59.3</c:v>
                </c:pt>
                <c:pt idx="11">
                  <c:v>61</c:v>
                </c:pt>
                <c:pt idx="12">
                  <c:v>25.4</c:v>
                </c:pt>
                <c:pt idx="13">
                  <c:v>78</c:v>
                </c:pt>
                <c:pt idx="14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23-4BA5-8030-33A38FAC9B6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536366080"/>
        <c:axId val="536351648"/>
      </c:barChart>
      <c:catAx>
        <c:axId val="536366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6351648"/>
        <c:crosses val="autoZero"/>
        <c:auto val="1"/>
        <c:lblAlgn val="ctr"/>
        <c:lblOffset val="100"/>
        <c:noMultiLvlLbl val="0"/>
      </c:catAx>
      <c:valAx>
        <c:axId val="536351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636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560934677082049"/>
          <c:y val="2.78454577097111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171478950848578E-2"/>
          <c:y val="0.16184569340945157"/>
          <c:w val="0.44474877603050333"/>
          <c:h val="0.702340827306089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Темпы работы по приспособлению объектов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63-4772-82AF-1F1F0DEA7C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0363-4772-82AF-1F1F0DEA7C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63-4772-82AF-1F1F0DEA7C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0363-4772-82AF-1F1F0DEA7C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63-4772-82AF-1F1F0DEA7CB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0363-4772-82AF-1F1F0DEA7CBB}"/>
              </c:ext>
            </c:extLst>
          </c:dPt>
          <c:dPt>
            <c:idx val="6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363-4772-82AF-1F1F0DEA7C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да, довольно быстро </c:v>
                </c:pt>
                <c:pt idx="1">
                  <c:v>да, но медленно </c:v>
                </c:pt>
                <c:pt idx="2">
                  <c:v>да, но с нарушениями нормативов </c:v>
                </c:pt>
                <c:pt idx="3">
                  <c:v>практически не осуществляется </c:v>
                </c:pt>
                <c:pt idx="4">
                  <c:v>совсем не осуществляется </c:v>
                </c:pt>
                <c:pt idx="5">
                  <c:v>не обращал(а) на это внимания </c:v>
                </c:pt>
                <c:pt idx="6">
                  <c:v>затрудняюсь ответить 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3.4000000000000002E-2</c:v>
                </c:pt>
                <c:pt idx="1">
                  <c:v>0.254</c:v>
                </c:pt>
                <c:pt idx="2">
                  <c:v>0.13600000000000001</c:v>
                </c:pt>
                <c:pt idx="3">
                  <c:v>0.28799999999999998</c:v>
                </c:pt>
                <c:pt idx="4">
                  <c:v>0.153</c:v>
                </c:pt>
                <c:pt idx="5">
                  <c:v>8.2000000000000003E-2</c:v>
                </c:pt>
                <c:pt idx="6">
                  <c:v>5.2999999999999999E-2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63-4772-82AF-1F1F0DEA7CB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5454799470321881"/>
          <c:y val="0.28645850177185911"/>
          <c:w val="0.4198879206662976"/>
          <c:h val="0.487297154336738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dcterms:created xsi:type="dcterms:W3CDTF">2020-10-16T19:54:00Z</dcterms:created>
  <dcterms:modified xsi:type="dcterms:W3CDTF">2020-11-03T01:28:00Z</dcterms:modified>
</cp:coreProperties>
</file>