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5" w:rsidRDefault="00430B75" w:rsidP="00430B75">
      <w:pPr>
        <w:tabs>
          <w:tab w:val="num" w:pos="1545"/>
        </w:tabs>
        <w:ind w:left="8080" w:hanging="8506"/>
        <w:jc w:val="right"/>
        <w:rPr>
          <w:sz w:val="28"/>
        </w:rPr>
      </w:pPr>
      <w:r>
        <w:rPr>
          <w:sz w:val="28"/>
        </w:rPr>
        <w:t>ПРИЛОЖЕНИЕ 2</w:t>
      </w:r>
    </w:p>
    <w:p w:rsidR="00430B75" w:rsidRDefault="00430B75" w:rsidP="00430B75">
      <w:pPr>
        <w:tabs>
          <w:tab w:val="num" w:pos="1545"/>
        </w:tabs>
        <w:ind w:hanging="426"/>
        <w:jc w:val="right"/>
        <w:rPr>
          <w:sz w:val="28"/>
        </w:rPr>
      </w:pPr>
      <w:r>
        <w:rPr>
          <w:sz w:val="28"/>
        </w:rPr>
        <w:t>к постановлению</w:t>
      </w:r>
    </w:p>
    <w:p w:rsidR="00430B75" w:rsidRDefault="00430B75" w:rsidP="00430B75">
      <w:pPr>
        <w:tabs>
          <w:tab w:val="num" w:pos="1545"/>
        </w:tabs>
        <w:ind w:hanging="426"/>
        <w:jc w:val="right"/>
        <w:rPr>
          <w:sz w:val="28"/>
        </w:rPr>
      </w:pPr>
      <w:r>
        <w:rPr>
          <w:sz w:val="28"/>
        </w:rPr>
        <w:t>Администрации городского округа</w:t>
      </w:r>
    </w:p>
    <w:p w:rsidR="00430B75" w:rsidRDefault="00430B75" w:rsidP="00430B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</w:rPr>
        <w:t>Октябрьск Самарской области</w:t>
      </w:r>
      <w:r>
        <w:rPr>
          <w:sz w:val="28"/>
          <w:szCs w:val="28"/>
        </w:rPr>
        <w:t xml:space="preserve"> </w:t>
      </w:r>
    </w:p>
    <w:p w:rsidR="00430B75" w:rsidRPr="00943CBE" w:rsidRDefault="00430B75" w:rsidP="00430B75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943CBE">
        <w:rPr>
          <w:sz w:val="28"/>
          <w:szCs w:val="28"/>
          <w:u w:val="single"/>
        </w:rPr>
        <w:t xml:space="preserve">от </w:t>
      </w:r>
      <w:r w:rsidR="00943CBE" w:rsidRPr="00943CBE">
        <w:rPr>
          <w:sz w:val="28"/>
          <w:szCs w:val="28"/>
          <w:u w:val="single"/>
        </w:rPr>
        <w:t xml:space="preserve">11.03.2021 </w:t>
      </w:r>
      <w:r w:rsidRPr="00943CBE">
        <w:rPr>
          <w:sz w:val="28"/>
          <w:szCs w:val="28"/>
          <w:u w:val="single"/>
        </w:rPr>
        <w:t xml:space="preserve">№ </w:t>
      </w:r>
      <w:r w:rsidR="00943CBE" w:rsidRPr="00943CBE">
        <w:rPr>
          <w:sz w:val="28"/>
          <w:szCs w:val="28"/>
          <w:u w:val="single"/>
        </w:rPr>
        <w:t>143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Start w:id="0" w:name="Par171"/>
    <w:bookmarkEnd w:id="0"/>
    <w:p w:rsidR="00430B75" w:rsidRDefault="005637DF" w:rsidP="00430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430B75">
        <w:rPr>
          <w:sz w:val="28"/>
          <w:szCs w:val="28"/>
        </w:rPr>
        <w:instrText xml:space="preserve"> HYPERLINK "file:///C:\\Users\\MuravevaLP\\Desktop\\МОИ%20ДОКУМЕНТЫ\\ОБЩЕЕ-sYsTem\\Постановление\\2021\\Порядок%20эффективности\\Пост.%20Порядок%20и%20Методика.doc" \l "Par171" </w:instrText>
      </w:r>
      <w:r>
        <w:rPr>
          <w:sz w:val="28"/>
          <w:szCs w:val="28"/>
        </w:rPr>
        <w:fldChar w:fldCharType="separate"/>
      </w:r>
      <w:r w:rsidR="00430B75">
        <w:rPr>
          <w:rStyle w:val="a3"/>
          <w:sz w:val="28"/>
          <w:szCs w:val="28"/>
        </w:rPr>
        <w:t>Методика</w:t>
      </w:r>
      <w:r>
        <w:rPr>
          <w:sz w:val="28"/>
          <w:szCs w:val="28"/>
        </w:rPr>
        <w:fldChar w:fldCharType="end"/>
      </w:r>
      <w:r w:rsidR="00430B75">
        <w:rPr>
          <w:sz w:val="28"/>
          <w:szCs w:val="28"/>
        </w:rPr>
        <w:t xml:space="preserve"> </w:t>
      </w:r>
    </w:p>
    <w:p w:rsidR="00430B75" w:rsidRDefault="00430B75" w:rsidP="00430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использования объектов недвижимого имущества, находящихся в собственности городского округа Октябрьск Самарской области и закрепленных на праве оперативного управления или хозяйственного ведения за муниципальными учреждениями и предприятиями городского округа Октябрьск Самарской области</w:t>
      </w:r>
    </w:p>
    <w:p w:rsidR="00430B75" w:rsidRDefault="00430B75" w:rsidP="00430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целей настоящей Методики оценки эффективности использования объектов недвижимого имущества, находящихся в собственности городского округа Октябрьск Самарской области и закрепленных на праве оперативного </w:t>
      </w:r>
      <w:proofErr w:type="gramStart"/>
      <w:r>
        <w:rPr>
          <w:sz w:val="28"/>
          <w:szCs w:val="28"/>
        </w:rPr>
        <w:t xml:space="preserve">управления или хозяйственного ведения за муниципальными учреждениями и унитарными предприятиями городского округа Октябрьск Самарской области </w:t>
      </w:r>
      <w:r w:rsidR="00E56F4D">
        <w:rPr>
          <w:sz w:val="28"/>
          <w:szCs w:val="28"/>
        </w:rPr>
        <w:t xml:space="preserve">(далее по тексту - Методика) </w:t>
      </w:r>
      <w:r>
        <w:rPr>
          <w:sz w:val="28"/>
          <w:szCs w:val="28"/>
        </w:rPr>
        <w:t>под эффективным использованием объектов недвижимого имущества, находящихся в собственности городского округа Октябрьск Самарской области и закрепленных на праве оперативного управления или хозяйственного ведения за муниципальными учреждениями и унитарными предприятиями городского округа Октябрьск Самарской области, за исключением земельных участков (далее по тексту</w:t>
      </w:r>
      <w:proofErr w:type="gramEnd"/>
      <w:r>
        <w:rPr>
          <w:sz w:val="28"/>
          <w:szCs w:val="28"/>
        </w:rPr>
        <w:t xml:space="preserve"> - объекты недвижимого имущества), понимается отсутствие фактов использования объектов недвижимого имущества третьими лицами без правовых оснований, отсутствие фактов неиспользования объектов недвижимого имущества.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использования объектов недвижимого имущества проводится в целях оптимизации механизмов управления объектами недвижимого имущества, повышения эффективности распоряжения объектами недвижимого имущества.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Показатели эффективности использования объектов недвижимого имущества, закрепленных за муниципальными бюджетными, казенными, автономными учреждениями городского округа Октябрьск Самарской области (далее - муниципальные учреждения), муниципальными унитарными предприятиями городского округа Октябрьск Самарской области (далее - муниципальные предприятия), определяются в следующем порядке: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bookmarkStart w:id="1" w:name="Par181"/>
      <w:bookmarkEnd w:id="1"/>
      <w:r>
        <w:rPr>
          <w:sz w:val="28"/>
          <w:szCs w:val="28"/>
        </w:rPr>
        <w:t>1) показатель эффективности использования объекта недвижимого имущества, закрепленного за муниципальным учреждением, определяется по формуле: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1670685" cy="407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- общая площадь (протяженность - для линейных объектов, далее - протяженность) объекта недвижимого имущества, указанная в </w:t>
      </w:r>
      <w:hyperlink r:id="rId8" w:anchor="Par87" w:history="1">
        <w:r>
          <w:rPr>
            <w:rStyle w:val="a3"/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Сведений об объекте недвижимого имущества, закрепленном за муниципальным учреждением и унитарным предприятием (далее - Сведения об объекте);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исп.</w:t>
      </w:r>
      <w:r>
        <w:rPr>
          <w:sz w:val="28"/>
          <w:szCs w:val="28"/>
        </w:rPr>
        <w:t xml:space="preserve"> - площадь (протяженность) объекта недвижимого имущества, используемая муниципальным учреждением, рассчитанная по формуле: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исп.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д.</w:t>
      </w:r>
      <w:r>
        <w:rPr>
          <w:sz w:val="28"/>
          <w:szCs w:val="28"/>
        </w:rPr>
        <w:t xml:space="preserve"> + S</w:t>
      </w:r>
      <w:r>
        <w:rPr>
          <w:sz w:val="28"/>
          <w:szCs w:val="28"/>
          <w:vertAlign w:val="subscript"/>
        </w:rPr>
        <w:t>ар.</w:t>
      </w:r>
      <w:r>
        <w:rPr>
          <w:sz w:val="28"/>
          <w:szCs w:val="28"/>
        </w:rPr>
        <w:t>,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д.</w:t>
      </w:r>
      <w:r>
        <w:rPr>
          <w:sz w:val="28"/>
          <w:szCs w:val="28"/>
        </w:rPr>
        <w:t xml:space="preserve"> - площадь (протяженность) объекта недвижимого имущества, используемая муниципальным учреждением, в том числе при выполнении муниципального задания, утвержденного учредителем, для оказания платных (бесплатных) услуг и осуществления иной приносящей доход деятельности, предусмотренной уставом муниципального учреждения, указанная в </w:t>
      </w:r>
      <w:hyperlink r:id="rId9" w:anchor="Par93" w:history="1">
        <w:r>
          <w:rPr>
            <w:rStyle w:val="a3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Сведений об объекте;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</w:t>
      </w:r>
      <w:proofErr w:type="gramEnd"/>
      <w:r>
        <w:rPr>
          <w:sz w:val="28"/>
          <w:szCs w:val="28"/>
          <w:vertAlign w:val="subscript"/>
        </w:rPr>
        <w:t>ар.</w:t>
      </w:r>
      <w:r>
        <w:rPr>
          <w:sz w:val="28"/>
          <w:szCs w:val="28"/>
        </w:rPr>
        <w:t xml:space="preserve"> - площадь (протяженность) объекта недвижимого имущества, предоставляемого, в том числе периодически в течение отчетного периода, в пользование третьим лицам по договорам аренды, безвозмездного пользования, указанная в </w:t>
      </w:r>
      <w:hyperlink r:id="rId10" w:anchor="Par96" w:history="1">
        <w:r>
          <w:rPr>
            <w:rStyle w:val="a3"/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Сведений об объекте.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proofErr w:type="gramStart"/>
      <w:r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>
        <w:rPr>
          <w:sz w:val="28"/>
          <w:szCs w:val="28"/>
        </w:rPr>
        <w:t xml:space="preserve"> площадь объекта недвижимого имущества применяется без учета площади помещений общего пользования (коридоров,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сетей) (далее - помещения общего пользования).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определения степени эффективности использования объектов недвижимого имущества</w:t>
      </w:r>
      <w:proofErr w:type="gramEnd"/>
      <w:r>
        <w:rPr>
          <w:sz w:val="28"/>
          <w:szCs w:val="28"/>
        </w:rPr>
        <w:t xml:space="preserve"> устанавливаются следующие критерии эффективности: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степень эффективности использования объекта (значение показателя N от 0 до 20%);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низкая степень эффективности использования объекта (значение показателя N от 21 до 100%).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 недвижимого имущества признается</w:t>
      </w:r>
      <w:r w:rsidR="00FD43BE">
        <w:rPr>
          <w:sz w:val="28"/>
          <w:szCs w:val="28"/>
        </w:rPr>
        <w:t xml:space="preserve"> и главными распределителями бюджетных средств, </w:t>
      </w:r>
      <w:r>
        <w:rPr>
          <w:sz w:val="28"/>
          <w:szCs w:val="28"/>
        </w:rPr>
        <w:t xml:space="preserve"> в подведомственности которых находятся муниципальные учреждения</w:t>
      </w:r>
      <w:r w:rsidR="00FD43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муниципальные предприятия </w:t>
      </w:r>
      <w:r w:rsidR="00FD43BE">
        <w:rPr>
          <w:sz w:val="28"/>
          <w:szCs w:val="28"/>
        </w:rPr>
        <w:t>горосдкого округаОктябрьск Самарской области</w:t>
      </w:r>
      <w:r>
        <w:rPr>
          <w:sz w:val="28"/>
          <w:szCs w:val="28"/>
        </w:rPr>
        <w:t>,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&lt; 200 кв. м;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&gt;= 200 кв. м, но &lt; 500 кв. м;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&gt;= 500 кв. м;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bookmarkStart w:id="2" w:name="Par200"/>
      <w:bookmarkEnd w:id="2"/>
      <w:r>
        <w:rPr>
          <w:sz w:val="28"/>
          <w:szCs w:val="28"/>
        </w:rPr>
        <w:t>2) показатель эффективности использования объекта недвижимого имущества, закрепленного за муниципальным предприятием, определяется по формуле: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1670685" cy="40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- общая площадь (протяженность) объекта недвижимого имущества, указанная в </w:t>
      </w:r>
      <w:hyperlink r:id="rId12" w:anchor="Par87" w:history="1">
        <w:r>
          <w:rPr>
            <w:rStyle w:val="a3"/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Сведений об объекте;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исп.</w:t>
      </w:r>
      <w:r>
        <w:rPr>
          <w:sz w:val="28"/>
          <w:szCs w:val="28"/>
        </w:rPr>
        <w:t xml:space="preserve"> - площадь (протяженность) объекта недвижимого имущества, используемая муниципальным предприятием, рассчитанная по формуле: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исп.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уд.</w:t>
      </w:r>
      <w:r>
        <w:rPr>
          <w:sz w:val="28"/>
          <w:szCs w:val="28"/>
        </w:rPr>
        <w:t xml:space="preserve"> + S</w:t>
      </w:r>
      <w:r>
        <w:rPr>
          <w:sz w:val="28"/>
          <w:szCs w:val="28"/>
          <w:vertAlign w:val="subscript"/>
        </w:rPr>
        <w:t>ар.</w:t>
      </w:r>
      <w:r>
        <w:rPr>
          <w:sz w:val="28"/>
          <w:szCs w:val="28"/>
        </w:rPr>
        <w:t>,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уд.</w:t>
      </w:r>
      <w:r>
        <w:rPr>
          <w:sz w:val="28"/>
          <w:szCs w:val="28"/>
        </w:rPr>
        <w:t xml:space="preserve"> - площадь (протяженность) объекта недвижимого имущества, используемая для осуществления уставной деятельности муниципального предприятия, указанная в </w:t>
      </w:r>
      <w:hyperlink r:id="rId13" w:anchor="Par90" w:history="1">
        <w:r>
          <w:rPr>
            <w:rStyle w:val="a3"/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Сведений об объекте;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ар.</w:t>
      </w:r>
      <w:r>
        <w:rPr>
          <w:sz w:val="28"/>
          <w:szCs w:val="28"/>
        </w:rPr>
        <w:t xml:space="preserve"> - площадь (протяженность) объекта недвижимого имущества, предоставляемого, в том числе периодически в течение отчетного периода, в пользование третьим лицам по договорам аренды, безвозмездного пользования, указанная в </w:t>
      </w:r>
      <w:hyperlink r:id="rId14" w:anchor="Par96" w:history="1">
        <w:r>
          <w:rPr>
            <w:rStyle w:val="a3"/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Сведений об объекте.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proofErr w:type="gramStart"/>
      <w:r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>
        <w:rPr>
          <w:sz w:val="28"/>
          <w:szCs w:val="28"/>
        </w:rPr>
        <w:t xml:space="preserve"> площадь объекта недвижимого имущества применяется без учета площади помещений общего пользования.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определения степени эффективности использования объектов недвижимого имущества</w:t>
      </w:r>
      <w:proofErr w:type="gramEnd"/>
      <w:r>
        <w:rPr>
          <w:sz w:val="28"/>
          <w:szCs w:val="28"/>
        </w:rPr>
        <w:t xml:space="preserve"> устанавливаются следующие критерии эффективности: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степень эффективности использования объекта (значение показателя N от 0 до 20%);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низкая степень эффективности использования объекта (значение показателя N от 21 до 100%).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недвижимого имущества признается неэффективно используемым </w:t>
      </w:r>
      <w:r w:rsidR="00FD43BE">
        <w:rPr>
          <w:sz w:val="28"/>
          <w:szCs w:val="28"/>
        </w:rPr>
        <w:t xml:space="preserve">признается и главными распределителями бюджетных </w:t>
      </w:r>
      <w:r w:rsidR="00FD43BE">
        <w:rPr>
          <w:sz w:val="28"/>
          <w:szCs w:val="28"/>
        </w:rPr>
        <w:lastRenderedPageBreak/>
        <w:t xml:space="preserve">средств,  в подведомственности которых находятся муниципальные </w:t>
      </w:r>
      <w:proofErr w:type="gramStart"/>
      <w:r w:rsidR="00FD43BE">
        <w:rPr>
          <w:sz w:val="28"/>
          <w:szCs w:val="28"/>
        </w:rPr>
        <w:t>учреждения</w:t>
      </w:r>
      <w:proofErr w:type="gramEnd"/>
      <w:r w:rsidR="00FD43BE">
        <w:rPr>
          <w:sz w:val="28"/>
          <w:szCs w:val="28"/>
        </w:rPr>
        <w:t xml:space="preserve"> и муниципальные предприятия горосдкого округаОктябрьск Самарской области </w:t>
      </w:r>
      <w:r>
        <w:rPr>
          <w:sz w:val="28"/>
          <w:szCs w:val="28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&lt; 200 кв. м;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&gt;= 200 кв. м, но &lt; 500 кв. м;</w:t>
      </w:r>
    </w:p>
    <w:p w:rsidR="00430B75" w:rsidRDefault="00430B75" w:rsidP="00430B75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и более - в случае, если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&gt;= 500 кв. м.</w:t>
      </w:r>
    </w:p>
    <w:p w:rsidR="00430B75" w:rsidRDefault="00430B75" w:rsidP="00430B7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430B75" w:rsidRDefault="00430B75" w:rsidP="00430B75">
      <w:pPr>
        <w:spacing w:line="360" w:lineRule="auto"/>
        <w:contextualSpacing/>
        <w:rPr>
          <w:sz w:val="28"/>
          <w:szCs w:val="28"/>
        </w:rPr>
      </w:pPr>
    </w:p>
    <w:p w:rsidR="00DA2ECC" w:rsidRDefault="00DA2ECC">
      <w:pPr>
        <w:contextualSpacing/>
      </w:pPr>
    </w:p>
    <w:sectPr w:rsidR="00DA2ECC" w:rsidSect="00E56F4D">
      <w:headerReference w:type="default" r:id="rId15"/>
      <w:type w:val="continuous"/>
      <w:pgSz w:w="11906" w:h="16838" w:code="9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42" w:rsidRDefault="00477142" w:rsidP="00430B75">
      <w:r>
        <w:separator/>
      </w:r>
    </w:p>
  </w:endnote>
  <w:endnote w:type="continuationSeparator" w:id="0">
    <w:p w:rsidR="00477142" w:rsidRDefault="00477142" w:rsidP="0043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42" w:rsidRDefault="00477142" w:rsidP="00430B75">
      <w:r>
        <w:separator/>
      </w:r>
    </w:p>
  </w:footnote>
  <w:footnote w:type="continuationSeparator" w:id="0">
    <w:p w:rsidR="00477142" w:rsidRDefault="00477142" w:rsidP="0043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631"/>
      <w:docPartObj>
        <w:docPartGallery w:val="Page Numbers (Top of Page)"/>
        <w:docPartUnique/>
      </w:docPartObj>
    </w:sdtPr>
    <w:sdtContent>
      <w:p w:rsidR="00E56F4D" w:rsidRDefault="005637DF">
        <w:pPr>
          <w:pStyle w:val="a6"/>
          <w:jc w:val="center"/>
        </w:pPr>
        <w:fldSimple w:instr=" PAGE   \* MERGEFORMAT ">
          <w:r w:rsidR="00943CBE">
            <w:rPr>
              <w:noProof/>
            </w:rPr>
            <w:t>5</w:t>
          </w:r>
        </w:fldSimple>
      </w:p>
    </w:sdtContent>
  </w:sdt>
  <w:p w:rsidR="00E56F4D" w:rsidRDefault="00E56F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30B75"/>
    <w:rsid w:val="00430B75"/>
    <w:rsid w:val="00477142"/>
    <w:rsid w:val="005637DF"/>
    <w:rsid w:val="00665D96"/>
    <w:rsid w:val="006A22BF"/>
    <w:rsid w:val="00865577"/>
    <w:rsid w:val="008E058C"/>
    <w:rsid w:val="00943CBE"/>
    <w:rsid w:val="00967649"/>
    <w:rsid w:val="00A81D42"/>
    <w:rsid w:val="00AB7750"/>
    <w:rsid w:val="00D36350"/>
    <w:rsid w:val="00DA2ECC"/>
    <w:rsid w:val="00DA32FD"/>
    <w:rsid w:val="00E56F4D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0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0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0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Relationship Id="rId13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Relationship Id="rId14" Type="http://schemas.openxmlformats.org/officeDocument/2006/relationships/hyperlink" Target="file:///C:\Users\MuravevaLP\Desktop\&#1052;&#1054;&#1048;%20&#1044;&#1054;&#1050;&#1059;&#1052;&#1045;&#1053;&#1058;&#1067;\&#1054;&#1041;&#1065;&#1045;&#1045;-sYsTem\&#1055;&#1086;&#1089;&#1090;&#1072;&#1085;&#1086;&#1074;&#1083;&#1077;&#1085;&#1080;&#1077;\2021\&#1055;&#1086;&#1088;&#1103;&#1076;&#1086;&#1082;%20&#1101;&#1092;&#1092;&#1077;&#1082;&#1090;&#1080;&#1074;&#1085;&#1086;&#1089;&#1090;&#1080;\&#1055;&#1086;&#1089;&#1090;.%20&#1055;&#1086;&#1088;&#1103;&#1076;&#1086;&#1082;%20&#1080;%20&#1052;&#1077;&#1090;&#1086;&#1076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A50C-5A46-4C5C-9132-9AC5CBC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9</cp:revision>
  <cp:lastPrinted>2021-03-03T06:34:00Z</cp:lastPrinted>
  <dcterms:created xsi:type="dcterms:W3CDTF">2021-03-01T12:55:00Z</dcterms:created>
  <dcterms:modified xsi:type="dcterms:W3CDTF">2021-03-11T10:25:00Z</dcterms:modified>
</cp:coreProperties>
</file>