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DD5D81">
        <w:rPr>
          <w:b/>
          <w:sz w:val="28"/>
        </w:rPr>
        <w:t>4-П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DD5D81">
        <w:t>22</w:t>
      </w:r>
      <w:r>
        <w:t xml:space="preserve">» </w:t>
      </w:r>
      <w:r w:rsidR="0077182A">
        <w:t>января</w:t>
      </w:r>
      <w:r>
        <w:t xml:space="preserve"> 20</w:t>
      </w:r>
      <w:r w:rsidR="00A32B2D">
        <w:t>2</w:t>
      </w:r>
      <w:r w:rsidR="0077182A">
        <w:t>1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A193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-п от 2</w:t>
      </w:r>
      <w:r w:rsidR="006A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6A193E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A193E">
        <w:rPr>
          <w:sz w:val="28"/>
          <w:szCs w:val="28"/>
        </w:rPr>
        <w:t>16</w:t>
      </w:r>
      <w:r>
        <w:rPr>
          <w:sz w:val="28"/>
          <w:szCs w:val="28"/>
        </w:rPr>
        <w:t>-п от 2</w:t>
      </w:r>
      <w:r w:rsidR="006A193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77182A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A32B2D">
              <w:rPr>
                <w:sz w:val="28"/>
                <w:szCs w:val="28"/>
              </w:rPr>
              <w:t>4</w:t>
            </w:r>
            <w:r w:rsidR="0077182A">
              <w:rPr>
                <w:sz w:val="28"/>
                <w:szCs w:val="28"/>
              </w:rPr>
              <w:t>1 426,9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77182A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21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77182A">
              <w:rPr>
                <w:sz w:val="28"/>
                <w:szCs w:val="28"/>
              </w:rPr>
              <w:t>15 068,8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22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13 186,7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13 171,4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77182A">
        <w:rPr>
          <w:sz w:val="28"/>
          <w:szCs w:val="28"/>
        </w:rPr>
        <w:t>41 426,9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21</w:t>
      </w:r>
      <w:r w:rsidRPr="008735F3">
        <w:rPr>
          <w:sz w:val="28"/>
          <w:szCs w:val="28"/>
        </w:rPr>
        <w:t xml:space="preserve"> г.- </w:t>
      </w:r>
      <w:r w:rsidR="0077182A">
        <w:rPr>
          <w:sz w:val="28"/>
          <w:szCs w:val="28"/>
        </w:rPr>
        <w:t>15 068,8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22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13 186,7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A193E">
        <w:rPr>
          <w:sz w:val="28"/>
          <w:szCs w:val="28"/>
        </w:rPr>
        <w:t>3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13 171,4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C82CE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236180"/>
    <w:rsid w:val="0025426D"/>
    <w:rsid w:val="002649E0"/>
    <w:rsid w:val="003D0EC7"/>
    <w:rsid w:val="003E7F8C"/>
    <w:rsid w:val="003F784C"/>
    <w:rsid w:val="0043490A"/>
    <w:rsid w:val="00520148"/>
    <w:rsid w:val="005264FB"/>
    <w:rsid w:val="005517F0"/>
    <w:rsid w:val="005944AC"/>
    <w:rsid w:val="005B15E8"/>
    <w:rsid w:val="00684244"/>
    <w:rsid w:val="006A193E"/>
    <w:rsid w:val="006F7E1E"/>
    <w:rsid w:val="0077182A"/>
    <w:rsid w:val="007C4054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32B2D"/>
    <w:rsid w:val="00A46DB1"/>
    <w:rsid w:val="00A54BF0"/>
    <w:rsid w:val="00A6126A"/>
    <w:rsid w:val="00B00A60"/>
    <w:rsid w:val="00B73044"/>
    <w:rsid w:val="00BA4BE5"/>
    <w:rsid w:val="00BD0B55"/>
    <w:rsid w:val="00C55982"/>
    <w:rsid w:val="00C57731"/>
    <w:rsid w:val="00C82CE3"/>
    <w:rsid w:val="00CC1E1F"/>
    <w:rsid w:val="00CC3A43"/>
    <w:rsid w:val="00D20793"/>
    <w:rsid w:val="00D22E28"/>
    <w:rsid w:val="00D47723"/>
    <w:rsid w:val="00DC0A6E"/>
    <w:rsid w:val="00DD5D81"/>
    <w:rsid w:val="00DF6D63"/>
    <w:rsid w:val="00E0260B"/>
    <w:rsid w:val="00E20065"/>
    <w:rsid w:val="00E43226"/>
    <w:rsid w:val="00E96E9F"/>
    <w:rsid w:val="00F3269C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2019-07-19T10:10:00Z</cp:lastPrinted>
  <dcterms:created xsi:type="dcterms:W3CDTF">2017-05-25T10:52:00Z</dcterms:created>
  <dcterms:modified xsi:type="dcterms:W3CDTF">2021-02-09T04:24:00Z</dcterms:modified>
</cp:coreProperties>
</file>