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E2DCC" w:rsidTr="00CA79A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E2DCC" w:rsidRDefault="00CE2DCC" w:rsidP="00CA79A7"/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E2DCC" w:rsidRDefault="00CE2DCC" w:rsidP="00C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DCC" w:rsidRPr="00CD67A4" w:rsidRDefault="00CE2DCC" w:rsidP="00D10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A4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65409E" w:rsidRDefault="00CE2DCC" w:rsidP="006540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A4">
              <w:rPr>
                <w:rFonts w:ascii="Times New Roman" w:hAnsi="Times New Roman" w:cs="Times New Roman"/>
                <w:sz w:val="24"/>
                <w:szCs w:val="24"/>
              </w:rPr>
              <w:t>к приказу Финансового управления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1814">
              <w:rPr>
                <w:rFonts w:ascii="Times New Roman" w:hAnsi="Times New Roman" w:cs="Times New Roman"/>
                <w:sz w:val="24"/>
                <w:szCs w:val="24"/>
              </w:rPr>
              <w:t xml:space="preserve">родского округа Октябрьск </w:t>
            </w:r>
          </w:p>
          <w:p w:rsidR="00CE2DCC" w:rsidRDefault="00EC1814" w:rsidP="00D150D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E66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50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941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150D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2025 года № 36-н</w:t>
            </w:r>
          </w:p>
        </w:tc>
      </w:tr>
    </w:tbl>
    <w:p w:rsidR="00CE2DCC" w:rsidRDefault="00CE2DCC" w:rsidP="00CE2D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2DCC" w:rsidRDefault="00CE2DCC" w:rsidP="00CE2D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E2DCC" w:rsidRPr="004A03FD" w:rsidRDefault="00CE2DCC" w:rsidP="00CE2D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A03FD">
        <w:rPr>
          <w:rFonts w:ascii="Times New Roman" w:hAnsi="Times New Roman" w:cs="Times New Roman"/>
          <w:sz w:val="24"/>
          <w:szCs w:val="24"/>
        </w:rPr>
        <w:t>абоч</w:t>
      </w:r>
      <w:r>
        <w:rPr>
          <w:rFonts w:ascii="Times New Roman" w:hAnsi="Times New Roman" w:cs="Times New Roman"/>
          <w:sz w:val="24"/>
          <w:szCs w:val="24"/>
        </w:rPr>
        <w:t>ий план</w:t>
      </w:r>
      <w:r w:rsidRPr="004A03FD">
        <w:rPr>
          <w:rFonts w:ascii="Times New Roman" w:hAnsi="Times New Roman" w:cs="Times New Roman"/>
          <w:sz w:val="24"/>
          <w:szCs w:val="24"/>
        </w:rPr>
        <w:t xml:space="preserve"> счетов централизованного учета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5779">
        <w:rPr>
          <w:rFonts w:ascii="Times New Roman" w:hAnsi="Times New Roman" w:cs="Times New Roman"/>
          <w:sz w:val="24"/>
          <w:szCs w:val="24"/>
        </w:rPr>
        <w:t xml:space="preserve"> применяем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35779">
        <w:rPr>
          <w:rFonts w:ascii="Times New Roman" w:hAnsi="Times New Roman" w:cs="Times New Roman"/>
          <w:sz w:val="24"/>
          <w:szCs w:val="24"/>
        </w:rPr>
        <w:t xml:space="preserve"> для осуществления полномочий, указанных в пункте 2 постановления Администрации городского округа Октябрьск Самарской области от 20.12.2021 года № 1062 «</w:t>
      </w:r>
      <w:r w:rsidRPr="00335779">
        <w:rPr>
          <w:rFonts w:ascii="Times New Roman" w:eastAsia="Calibri" w:hAnsi="Times New Roman" w:cs="Times New Roman"/>
          <w:sz w:val="24"/>
          <w:szCs w:val="24"/>
        </w:rPr>
        <w:t xml:space="preserve">О передаче Муниципальному казенному учреждению </w:t>
      </w:r>
      <w:r w:rsidRPr="00335779">
        <w:rPr>
          <w:rFonts w:ascii="Times New Roman" w:hAnsi="Times New Roman" w:cs="Times New Roman"/>
          <w:sz w:val="24"/>
          <w:szCs w:val="24"/>
        </w:rPr>
        <w:t>«Финансовое управление Администрации городского округа Октябрьск Самарской области» полномочий муниципальных казенных, бюджетных учреждений городского округа Октябрьск Самарской области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перечислению, по ведению бюджетного учета, включая составление и представление бюджетной отчетности, консолидированной отчётности бюджетных учреждений городского округа Октябрьск Самарской области, иной обязательной отчётности, формируемой на основании данных бюджетного учета, по обеспечению представления такой отчётности в соответствующие государственные (муниципальные) органы»</w:t>
      </w:r>
    </w:p>
    <w:p w:rsidR="00CE2DCC" w:rsidRDefault="00CE2DCC" w:rsidP="00CE2DCC">
      <w:pPr>
        <w:pStyle w:val="ConsPlusTitle"/>
        <w:jc w:val="center"/>
      </w:pPr>
    </w:p>
    <w:p w:rsidR="00CE2DCC" w:rsidRPr="00BA307B" w:rsidRDefault="00CE2DCC" w:rsidP="00CE2D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</w:t>
      </w:r>
    </w:p>
    <w:p w:rsidR="00CE2DCC" w:rsidRPr="00BA307B" w:rsidRDefault="00CE2DCC" w:rsidP="00CE2D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7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БАЛАНСОВЫЕ СЧЕТА</w:t>
      </w:r>
    </w:p>
    <w:p w:rsidR="00CE2DCC" w:rsidRPr="00BA307B" w:rsidRDefault="00CE2DCC" w:rsidP="00CE2D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4"/>
        <w:gridCol w:w="1417"/>
        <w:gridCol w:w="993"/>
        <w:gridCol w:w="850"/>
      </w:tblGrid>
      <w:tr w:rsidR="00CE2DCC" w:rsidRPr="003A56A2" w:rsidTr="00CA79A7">
        <w:tc>
          <w:tcPr>
            <w:tcW w:w="6584" w:type="dxa"/>
            <w:vMerge w:val="restart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счета</w:t>
            </w:r>
          </w:p>
        </w:tc>
        <w:tc>
          <w:tcPr>
            <w:tcW w:w="3260" w:type="dxa"/>
            <w:gridSpan w:val="3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синтетический счет</w:t>
            </w:r>
          </w:p>
        </w:tc>
      </w:tr>
      <w:tr w:rsidR="00CE2DCC" w:rsidRPr="003A56A2" w:rsidTr="00CA79A7">
        <w:tc>
          <w:tcPr>
            <w:tcW w:w="6584" w:type="dxa"/>
            <w:vMerge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объекта учета</w:t>
            </w:r>
          </w:p>
        </w:tc>
        <w:tc>
          <w:tcPr>
            <w:tcW w:w="1843" w:type="dxa"/>
            <w:gridSpan w:val="2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код</w:t>
            </w:r>
          </w:p>
        </w:tc>
      </w:tr>
      <w:tr w:rsidR="00CE2DCC" w:rsidRPr="003A56A2" w:rsidTr="00CA79A7">
        <w:tc>
          <w:tcPr>
            <w:tcW w:w="6584" w:type="dxa"/>
            <w:vMerge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учета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учета</w:t>
            </w:r>
          </w:p>
        </w:tc>
      </w:tr>
      <w:tr w:rsidR="00CE2DCC" w:rsidRPr="003A56A2" w:rsidTr="00CA79A7">
        <w:tc>
          <w:tcPr>
            <w:tcW w:w="6584" w:type="dxa"/>
            <w:vMerge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 – 21)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(22)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(23)</w:t>
            </w:r>
          </w:p>
        </w:tc>
      </w:tr>
      <w:tr w:rsidR="00CE2DCC" w:rsidRPr="003A56A2" w:rsidTr="00CA79A7">
        <w:tblPrEx>
          <w:tblBorders>
            <w:insideV w:val="nil"/>
          </w:tblBorders>
        </w:tblPrEx>
        <w:tc>
          <w:tcPr>
            <w:tcW w:w="9844" w:type="dxa"/>
            <w:gridSpan w:val="4"/>
            <w:tcBorders>
              <w:left w:val="single" w:sz="4" w:space="0" w:color="auto"/>
            </w:tcBorders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НЕФИНАНСОВЫЕ АКТИВЫ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помещения – недвижимое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(здания и сооружения)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помещения (здания и сооружения) – особо ценное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  <w:vAlign w:val="center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оборудование – особо ценное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  <w:vAlign w:val="center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– особо ценное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  <w:vAlign w:val="center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Инвентарь производственный и хозяйственный – особо ценное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  <w:vAlign w:val="center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основные средства – особо ценное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  <w:vAlign w:val="center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помещения (здания и сооружения) -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и оборудование -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–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  <w:vAlign w:val="center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Инвентарь производственный и хозяйственный –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  <w:vAlign w:val="center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Биологические ресурсы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1 0 1 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основные средства -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и базы данных  -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Земля – недвижимое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имущество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непроизведенные активы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- недвижимое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нежилых помещений (зданий и сооружений)- недвижимого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39416D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Амортизация нежилых помещений (зданий и сооружений) - особо ценного движимого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F732D" w:rsidRPr="003A56A2" w:rsidTr="00CA79A7">
        <w:tc>
          <w:tcPr>
            <w:tcW w:w="6584" w:type="dxa"/>
          </w:tcPr>
          <w:p w:rsidR="009F732D" w:rsidRPr="003A56A2" w:rsidRDefault="009F732D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Амортизация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жилых помещений</w:t>
            </w:r>
          </w:p>
        </w:tc>
        <w:tc>
          <w:tcPr>
            <w:tcW w:w="1417" w:type="dxa"/>
          </w:tcPr>
          <w:p w:rsidR="009F732D" w:rsidRPr="003A56A2" w:rsidRDefault="009F732D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93" w:type="dxa"/>
          </w:tcPr>
          <w:p w:rsidR="009F732D" w:rsidRPr="003A56A2" w:rsidRDefault="009F732D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9F732D" w:rsidRPr="003A56A2" w:rsidRDefault="009F732D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машин и оборудования - особо ценного движимого имущества учреждения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Амортизация транспортных средств - особо ценного движимого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Амортизация инвентаря производственного и хозяйственного - особо ценного движимого имущества учреждения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прочих основных средств - особо ценного движимого имущества учреждения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Амортизация нежилых помещений (зданий и сооружений) - иного движимого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машин и оборудования - иного движимого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Амортизация транспортных средств - иного движимого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инвентаря производственного и хозяйственного - иного движимого имущества учреждения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BE6099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99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Амортизация биологических ресурсов - иного движимого имущества учреждения</w:t>
            </w:r>
          </w:p>
        </w:tc>
        <w:tc>
          <w:tcPr>
            <w:tcW w:w="1417" w:type="dxa"/>
          </w:tcPr>
          <w:p w:rsidR="00CE2DCC" w:rsidRPr="00BE6099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BE6099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BE6099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прочих основных средств - иного движимого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Амортизация прав пользования транспортными средствами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прав пользования прочими основными средствами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недвижимого имущества в составе имущества казны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движимого имущества в составе имущества казны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имущества казны в концессии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Строительные материалы - иное движимое имущество учреждения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Мягкий инвентарь - иное движимое имущество учреждения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материальные запасы -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A6148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основные средства - недвижимое имущество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Вложения в основные средства - особо ценное движимое имущество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основные средства -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материальные запасы - иное движимое имущество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Недвижимое имущество, составляющее казну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Движимое имущество, составляющее казну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Непроизведенные активы, составляющие казну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Материальные запасы, составляющие казну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Недвижимое имущество концедента, составляющее казну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Движимое имущество концедента, составляющее казну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Себестоимость готовой продукции, работ, услуг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незавершенного производства готовой продукции, работ, услуг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Накладные расходы производства готовой продукции, работ, услуг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пользования прочими основными средствами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Обесценение нежилых помещений (зданий и сооружений)- недвижимого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Обесценение машин и оборудования - иное движимое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Обесценение прочих основных средств - иного движимое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Обесценение недвижимого имущества, составляющего казну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Обесценение движимого имущества, составляющего казну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Обесценение ценностей государственных фондов России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Обесценение нематериальных активов, составляющих казну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Обесценение непроизведенных активов, составляющих казну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Обесценение материальных запасов, составляющих казну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Обесценение прочих активов, составляющих казну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Обесценение земли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blPrEx>
          <w:tblBorders>
            <w:insideV w:val="nil"/>
          </w:tblBorders>
        </w:tblPrEx>
        <w:tc>
          <w:tcPr>
            <w:tcW w:w="9844" w:type="dxa"/>
            <w:gridSpan w:val="4"/>
            <w:tcBorders>
              <w:left w:val="single" w:sz="4" w:space="0" w:color="auto"/>
            </w:tcBorders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средства учреждения на лицевых счетах в органе казначейства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документы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государственных (муниципальных) учреждениях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5DFE" w:rsidRPr="003A56A2" w:rsidTr="00CA79A7">
        <w:tc>
          <w:tcPr>
            <w:tcW w:w="6584" w:type="dxa"/>
          </w:tcPr>
          <w:p w:rsidR="009C5DFE" w:rsidRPr="003A56A2" w:rsidRDefault="009C5DFE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государственных (муниципальных)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предприятиях</w:t>
            </w:r>
          </w:p>
        </w:tc>
        <w:tc>
          <w:tcPr>
            <w:tcW w:w="1417" w:type="dxa"/>
          </w:tcPr>
          <w:p w:rsidR="009C5DFE" w:rsidRPr="003A56A2" w:rsidRDefault="009C5DFE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993" w:type="dxa"/>
          </w:tcPr>
          <w:p w:rsidR="009C5DFE" w:rsidRPr="003A56A2" w:rsidRDefault="009C5DFE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9C5DFE" w:rsidRPr="003A56A2" w:rsidRDefault="009C5DFE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с плательщиками налогов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плательщиками государственных пошлин, сборов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Расчеты по доходам от операционной аренды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платежей при пользовании природными ресурсами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доходам от дивидендов от объектов инвестирования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оказания платных услуг (работ)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условным арендным платежам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Расчеты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доходам от штрафных санкций за нарушение законодательства о закупках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прочим доходам от сумм принудительного изъятия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Расчеты по поступлениям текущего характера бюджетным и автономным учреждениям от сектора государственного управления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доходам от операций с основными средствами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доходам от операций с непроизведенными активами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операций с материальными запасами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невыясненным поступлениям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услугам связи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транспортным услугам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коммунальным услугам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арендной плате за пользование имуществом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работам, услугам по содержанию имущества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авансам по прочим работам, услугам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страхованию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BC5744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4276" w:rsidRPr="003A56A2" w:rsidTr="00CA79A7">
        <w:tc>
          <w:tcPr>
            <w:tcW w:w="6584" w:type="dxa"/>
          </w:tcPr>
          <w:p w:rsidR="002C4276" w:rsidRPr="002C4276" w:rsidRDefault="002C4276" w:rsidP="002C4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услугам, работам для целей капитальных вложений</w:t>
            </w:r>
          </w:p>
        </w:tc>
        <w:tc>
          <w:tcPr>
            <w:tcW w:w="1417" w:type="dxa"/>
          </w:tcPr>
          <w:p w:rsidR="002C4276" w:rsidRPr="003A56A2" w:rsidRDefault="002C4276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993" w:type="dxa"/>
          </w:tcPr>
          <w:p w:rsidR="002C4276" w:rsidRPr="003A56A2" w:rsidRDefault="002C4276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2C4276" w:rsidRDefault="002C4276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приобретению основных средств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приобретению нематериальных активов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приобретению непроизведенных активов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приобретению материальных запасов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авансам по оплате иных выплат текущего характера физическим лицам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услуг связи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транспортных услуг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коммунальных услуг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арендной платы за пользование имуществом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прочих работ, услуг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приобретению нематериальных активов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с подотчетными лицами по приобретению материальных запасов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пошлин и сборов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иных выплат текущего характера физическим лицам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компенсации затрат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бюджета от возврата дебиторской задолженности прошлых лет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бюджета от возмещений государственным внебюджетным фондом расходов страхователя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ущербу основным средствам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ущербу нематериальным активам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ущербу непроизведенным активам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ущербу материальным запасам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недостачам денежных средств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недостачам иных финансовых активов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иным доходам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финансовым органом по поступлениям в бюджет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2 1 0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финансовым органом по наличным денежным средствам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2 1 0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прочими дебиторами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2 1 0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с учредителем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2 1 0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НДС по приобретенным материальным ценностям, работам, услугам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2 1 0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blPrEx>
          <w:tblBorders>
            <w:insideV w:val="nil"/>
          </w:tblBorders>
        </w:tblPrEx>
        <w:tc>
          <w:tcPr>
            <w:tcW w:w="9844" w:type="dxa"/>
            <w:gridSpan w:val="4"/>
            <w:tcBorders>
              <w:left w:val="single" w:sz="4" w:space="0" w:color="auto"/>
            </w:tcBorders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заработной плате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прочим несоциальным выплатам персоналу в денежной форме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начислениям на выплаты по оплате труда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услугам связи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транспортным услугам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коммунальным услугам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арендной плате за пользование имуществом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работам, услугам по содержанию имущества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прочим работам, услугам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rPr>
          <w:trHeight w:val="488"/>
        </w:trPr>
        <w:tc>
          <w:tcPr>
            <w:tcW w:w="6584" w:type="dxa"/>
            <w:vAlign w:val="center"/>
          </w:tcPr>
          <w:p w:rsidR="00CE2DCC" w:rsidRPr="003A56A2" w:rsidRDefault="00CE2DCC" w:rsidP="00CA79A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страхованию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услугам, работам для целей капитальных вложений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приобретению основных средств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приобретению нематериальных активов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приобретению непроизведенных активов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3EEF" w:rsidRPr="003A56A2" w:rsidTr="00CA79A7">
        <w:tc>
          <w:tcPr>
            <w:tcW w:w="6584" w:type="dxa"/>
          </w:tcPr>
          <w:p w:rsidR="00C73EEF" w:rsidRPr="00C73EEF" w:rsidRDefault="00C73EEF" w:rsidP="00C73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приобретению биологических активов</w:t>
            </w:r>
          </w:p>
        </w:tc>
        <w:tc>
          <w:tcPr>
            <w:tcW w:w="1417" w:type="dxa"/>
          </w:tcPr>
          <w:p w:rsidR="00C73EEF" w:rsidRPr="003A56A2" w:rsidRDefault="00C73EEF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93" w:type="dxa"/>
          </w:tcPr>
          <w:p w:rsidR="00C73EEF" w:rsidRPr="003A56A2" w:rsidRDefault="00C73EEF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73EEF" w:rsidRPr="003A56A2" w:rsidRDefault="00C73EEF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приобретению материальных запасов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BC5744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5B3A75" w:rsidRDefault="00CE2DCC" w:rsidP="00CA79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5B3A75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5B3A75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пенсиям, пособиям, выплачиваемым работодателями, нанимателями бывшим работникам</w:t>
            </w:r>
            <w:r w:rsidR="000A3F38" w:rsidRPr="005B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денежной форме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5B3A75" w:rsidRDefault="00CE2DCC" w:rsidP="00CA79A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75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социальным пособиям и компенсациям персоналу в денежной форме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Расчеты по штрафам за нарушение условий контрактов (договоров)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другим экономическим санкциям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иным выплатам текущего характера физическим лицам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иным выплатам текущего характера организациям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иным выплатам капитального характера физическим лицам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налогу на доходы физических лиц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налогу на прибыль организаций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налогу на добавленную стоимость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прочим платежам в бюджет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дополнительным страховым взносам на пенсионное страхование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налогу на имущество организаций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земельному налогу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единому налоговому платежу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единому страховому тарифу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средствам, полученным во временное распоряжение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депонентами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удержаниям из выплат по оплате труда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Внутриведомственные расчеты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платежам из бюджета с финансовыми органами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Расчеты с прочими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кредиторами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расчеты прошлых лет, выявленные в отчетном году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9844" w:type="dxa"/>
            <w:gridSpan w:val="4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текущего финансового года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текущего финансового года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прошлых финансовых лет, выявленные в отчетном году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прошлых отчетных периодов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 к признанию в текущем году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 к признанию в очередные года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blPrEx>
          <w:tblBorders>
            <w:insideV w:val="nil"/>
          </w:tblBorders>
        </w:tblPrEx>
        <w:tc>
          <w:tcPr>
            <w:tcW w:w="9844" w:type="dxa"/>
            <w:gridSpan w:val="4"/>
            <w:tcBorders>
              <w:left w:val="single" w:sz="4" w:space="0" w:color="auto"/>
            </w:tcBorders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САНКЦИОНИРОВАНИЕ РАСХОДОВ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Доведенные лимиты бюджетных обязательств 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Лимиты бюджетных обязательств получателей бюджетных средств 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лимиты бюджетных обязательств 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Доведенные лимиты бюджетных обязательств 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Лимиты бюджетных обязательств получателей бюджетных средств 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лимиты бюджетных обязательств 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Доведенные лимиты бюджетных обязательств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Лимиты бюджетных обязательств получателей бюджетных средств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лимиты бюджетных обязательств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Доведенные лимиты бюджетных обязательств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Лимиты бюджетных обязательств получателей бюджетных средств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лимиты бюджетных обязательств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Лимиты бюджетных обязательств получателей бюджетных средств (за пределами планового периода)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Принятые обязательства 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денежные обязательства 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Принимаемые обязательства 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Отложенные обязательства 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обязательства 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денежные обязательства 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Принимаемые обязательства 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Отложенные обязательства 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обязательства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денежные обязательства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Принимаемые обязательства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Отложенные обязательства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обязательства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денежные обязательства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Принимаемые обязательства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Отложенные обязательства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Отложенные обязательства (за пределами планового периода)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Доведенные бюджетные ассигнования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получателей бюджетных средств и администраторов выплат по источникам 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Полученные бюджетные ассигнования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Доведенные бюджетные ассигнования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ассигнования получателей бюджетных средств и администраторов выплат по источникам 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Полученные бюджетные ассигнования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Доведенные бюджетные ассигнования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получателей бюджетных средств и администраторов выплат по источникам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Полученные бюджетные ассигнования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Доведенные бюджетные ассигнования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получателей бюджетных средств и администраторов выплат по источникам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Полученные бюджетные ассигнования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Сметные (плановые, прогнозные) назначения на текущий финансовый год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Сметные (плановые, прогнозные) назначения на первый год, следующий за текущим (на 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Сметные (плановые, прогнозные) назначения на второй год, следующий за текущим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Сметные (плановые, прогнозные) назначения на второй год, следующий за очередным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принятие обязательств на текущий финансовый год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принятие обязательств на первый год, следующий за текущим (на 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принятие обязательств на второй год, следующий за текущим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принятие обязательств на второй год, следующий за текущим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принятие обязательств (за пределами планового периода)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Утвержденный объем финансового обеспечения на текущий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финансовый год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5 0 7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Утвержденный объем финансового обеспечения на первый год, следующий за текущим (на 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5 0 7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объем финансового обеспечения на второй год, следующий за текущим (на первый,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5 0 7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объем финансового обеспечения на второй год, следующий за очередным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5 0 7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финансового обеспечения на текущий финансовый год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финансового обеспечения на первый год, следующий за текущим (на 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финансового обеспечения на второй год, следующий за текущим (на первый,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финансового обеспечения на второй год, следующий за очередным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E2DCC" w:rsidRPr="00BA307B" w:rsidRDefault="00CE2DCC" w:rsidP="00CE2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формирования номеров балансовых счетов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счета Рабочего плана счетов имеет 26 разрядов.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Разряды формируются с учетом следующих положений.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1–17 разряды номера счета включают код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классификации доходов бюджетов, расходов бюджетов, источников финансирования дефицитов бюджетов. Коды формируются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типа учреждения в соответствии с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Инструкцией № 162н, Инструкцией № 174н.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18 разряд –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это код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финансового обеспечения (деятельности). 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казенных учреждений применяются коды:</w:t>
      </w:r>
      <w:r w:rsidRPr="00BA307B">
        <w:rPr>
          <w:rFonts w:ascii="Times New Roman" w:eastAsia="Times New Roman" w:hAnsi="Times New Roman" w:cs="Times New Roman"/>
        </w:rPr>
        <w:br/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 – бюджетная деятельность;</w:t>
      </w:r>
      <w:r w:rsidRPr="00BA307B">
        <w:rPr>
          <w:rFonts w:ascii="Times New Roman" w:eastAsia="Times New Roman" w:hAnsi="Times New Roman" w:cs="Times New Roman"/>
        </w:rPr>
        <w:br/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 – средства во временном распоряжении.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бюджетных учреждений применяются коды:</w:t>
      </w:r>
    </w:p>
    <w:p w:rsidR="00CE2DCC" w:rsidRPr="00BA307B" w:rsidRDefault="00CE2DCC" w:rsidP="00CE2DC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2 – приносящая доход деятельность (собственные доходы учреждения);</w:t>
      </w:r>
    </w:p>
    <w:p w:rsidR="00CE2DCC" w:rsidRPr="00BA307B" w:rsidRDefault="00CE2DCC" w:rsidP="00CE2DC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 – средства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во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временном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распоряжении;</w:t>
      </w:r>
    </w:p>
    <w:p w:rsidR="00CE2DCC" w:rsidRPr="00BA307B" w:rsidRDefault="00CE2DCC" w:rsidP="00CE2DC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4 – субсидии на выполнение государственного (муниципального) задания;</w:t>
      </w:r>
    </w:p>
    <w:p w:rsidR="00CE2DCC" w:rsidRPr="00BA307B" w:rsidRDefault="00CE2DCC" w:rsidP="00CE2DC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 – субсидии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иныецели;</w:t>
      </w:r>
    </w:p>
    <w:p w:rsidR="00CE2DCC" w:rsidRPr="00BA307B" w:rsidRDefault="00CE2DCC" w:rsidP="00CE2DC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6 – субсидии на цели осуществления капитальных вложений.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24–26 разряды содержат статьи/подстатьи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КОСГУ в зависимости от экономического содержания хозяйственной операции, отражаемой в учете.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19–23 разряды номера счета содержат соответствующие синтетические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и аналитические коды из таблицы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№ 1 настоящего приложения.</w:t>
      </w:r>
    </w:p>
    <w:p w:rsidR="00CE2DCC" w:rsidRDefault="00CE2DCC" w:rsidP="00CE2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A39F6" w:rsidRDefault="00DA39F6" w:rsidP="00CE2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A39F6" w:rsidRDefault="00DA39F6" w:rsidP="00CE2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A39F6" w:rsidRPr="00BA307B" w:rsidRDefault="00DA39F6" w:rsidP="00CE2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E2DCC" w:rsidRPr="00BA307B" w:rsidRDefault="00CE2DCC" w:rsidP="00CE2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30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ЗАБАЛАНСОВЫЕ СЧЕТА</w:t>
      </w:r>
    </w:p>
    <w:p w:rsidR="00CE2DCC" w:rsidRPr="00BA307B" w:rsidRDefault="00CE2DCC" w:rsidP="00CE2D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Таблица № 2</w:t>
      </w:r>
    </w:p>
    <w:tbl>
      <w:tblPr>
        <w:tblW w:w="97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64"/>
        <w:gridCol w:w="1380"/>
      </w:tblGrid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счета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счета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Имущество, полученное в пользование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Материальные ценности на хранении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Бланки строгой отчетности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Сомнительная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Материальные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оплаченные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централизованному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снабжению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Награды, призы, кубки и ценные подарки, сувениры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обязательств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денежных средств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Выбытия денежных средств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Задолженность, невостребованная кредиторами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средства в эксплуатации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Периодические издания для пользования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Нефинансовые активы, переданные в доверительное управление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Имущество, переданное в возмездное пользование (аренду)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Имущество, переданное в безвозмездное пользование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признанный финансовый результат объекта инвестирования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</w:tbl>
    <w:p w:rsidR="00CE2DCC" w:rsidRPr="00BA307B" w:rsidRDefault="00CE2DCC" w:rsidP="00CE2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формирования номеров забалансовых счетов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забалансового счета состоит из трех разрядов (ХХ.Х). Разряды формируются с учетом следующих положений.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разрядах 1–2 указывается соответствующий код забалансового счета из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таблицы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№ 2 настоящего приложения.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разряде 3 указывается код финансового обеспечения (деятельности). 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казенных учреждений применяются коды:</w:t>
      </w:r>
      <w:r w:rsidRPr="00BA307B">
        <w:rPr>
          <w:rFonts w:ascii="Times New Roman" w:eastAsia="Times New Roman" w:hAnsi="Times New Roman" w:cs="Times New Roman"/>
          <w:sz w:val="24"/>
          <w:szCs w:val="24"/>
        </w:rPr>
        <w:br/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 – бюджетная деятельность;</w:t>
      </w:r>
      <w:r w:rsidRPr="00BA307B">
        <w:rPr>
          <w:rFonts w:ascii="Times New Roman" w:eastAsia="Times New Roman" w:hAnsi="Times New Roman" w:cs="Times New Roman"/>
          <w:sz w:val="24"/>
          <w:szCs w:val="24"/>
        </w:rPr>
        <w:br/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 – средства во временном распоряжении.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бюджетных учреждений применяются коды:</w:t>
      </w:r>
    </w:p>
    <w:p w:rsidR="00CE2DCC" w:rsidRPr="00BA307B" w:rsidRDefault="00CE2DCC" w:rsidP="00CE2DC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2 – приносящая доход деятельность (собственные доходы учреждения);</w:t>
      </w:r>
    </w:p>
    <w:p w:rsidR="00CE2DCC" w:rsidRPr="00BA307B" w:rsidRDefault="00CE2DCC" w:rsidP="00CE2DC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 – средства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во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временном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распоряжении;</w:t>
      </w:r>
    </w:p>
    <w:p w:rsidR="00CE2DCC" w:rsidRPr="00BA307B" w:rsidRDefault="00CE2DCC" w:rsidP="00CE2DC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4 – субсидии на выполнение государственного (муниципального) задания;</w:t>
      </w:r>
    </w:p>
    <w:p w:rsidR="00CE2DCC" w:rsidRPr="00BA307B" w:rsidRDefault="00CE2DCC" w:rsidP="00CE2DC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 – субсидии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иные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цели;</w:t>
      </w:r>
    </w:p>
    <w:p w:rsidR="00CE2DCC" w:rsidRPr="00BA307B" w:rsidRDefault="00CE2DCC" w:rsidP="00CE2DC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6 – субсидии на цели осуществления капитальных вложений.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Порядок внесения изменений в Рабочий план счетов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Изменения в Рабочий план счетов </w:t>
      </w:r>
      <w:r w:rsidRPr="0095320F">
        <w:rPr>
          <w:rFonts w:ascii="Times New Roman" w:hAnsi="Times New Roman" w:cs="Times New Roman"/>
          <w:sz w:val="24"/>
          <w:szCs w:val="24"/>
        </w:rPr>
        <w:t>МКУ «ЦБ г.о. Октябрьск»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вносит:</w:t>
      </w:r>
    </w:p>
    <w:p w:rsidR="00CE2DCC" w:rsidRPr="00BA307B" w:rsidRDefault="00CE2DCC" w:rsidP="00CE2DCC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изменений нормативных правовых актов, регулирующих ведение бухгалтерского (бюджетного) учета и составление бухгалтерской (финансовой) отчетности;</w:t>
      </w:r>
    </w:p>
    <w:p w:rsidR="00CE2DCC" w:rsidRPr="00BA307B" w:rsidRDefault="00CE2DCC" w:rsidP="00CE2DCC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поступлении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предложений от у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чреждений – субъектов централизованного учета по формированию аналитической информации по данным бухгалтерского учета.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по изменениям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Рабочем плане счетов распространяются на изменения (в том числе включения, исключения) аналитической информации в Рабочем плане счетов, в том числе в части установления (исключения):</w:t>
      </w:r>
    </w:p>
    <w:p w:rsidR="00CE2DCC" w:rsidRPr="00BA307B" w:rsidRDefault="00CE2DCC" w:rsidP="00CE2DCC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дополнительных аналитических кодов видов синтетического счета объекта учета;</w:t>
      </w:r>
    </w:p>
    <w:p w:rsidR="00CE2DCC" w:rsidRPr="00BA307B" w:rsidRDefault="00CE2DCC" w:rsidP="00CE2DCC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дополнительных аналитических данных об объекте учета;</w:t>
      </w:r>
    </w:p>
    <w:p w:rsidR="00CE2DCC" w:rsidRPr="00BA307B" w:rsidRDefault="00CE2DCC" w:rsidP="00CE2DCC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дополнительной детализации статей (подстатей) КОСГУ;</w:t>
      </w:r>
    </w:p>
    <w:p w:rsidR="00CE2DCC" w:rsidRPr="00BA307B" w:rsidRDefault="00CE2DCC" w:rsidP="00CE2DCC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дополнительных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забалансовых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счетов.</w:t>
      </w:r>
    </w:p>
    <w:p w:rsidR="00CE2DCC" w:rsidRPr="00BA307B" w:rsidRDefault="00CE2DCC" w:rsidP="00CE2DC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поступления предложений от </w:t>
      </w:r>
      <w:r w:rsidRPr="0095320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 учреждений городского округа Октябрьск Самарской области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3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учреждение)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внесению изменений в Рабочий план счетов в целях формирования единой учетной политики при централизации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учета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320F">
        <w:rPr>
          <w:rFonts w:ascii="Times New Roman" w:hAnsi="Times New Roman" w:cs="Times New Roman"/>
          <w:sz w:val="24"/>
          <w:szCs w:val="24"/>
        </w:rPr>
        <w:t>МКУ «ЦБ г.о. Октябрьск»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 решение о внесении соответствующего изменения (включения, исключения) аналитической информации в Рабочий план счетов, либо подготавливает мотивированное заключение о нецелесообразности представленных предложений по изменению (включению, исключению) аналитической информации в Рабочий план счетов в виду их несоответствия принципам концептуальных основ бухгалтерского учета, утвержденных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СГС «Концептуальные основы бухучета и отчетности», в части отсутствия прогностической ценности для финансовой оценки будущих периодов, либо подтверждающей ценности для подтверждения или корректировки ранее сделанных выводов, либо в виду превышения затрат на представление информации в бухгалтерской (финансовой) отчетности над ее полезностью и преимуществами от ее использования</w:t>
      </w:r>
      <w:r w:rsidRPr="00953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30 рабочих дней от даты поступления предложений. </w:t>
      </w:r>
      <w:r w:rsidRPr="0095320F">
        <w:rPr>
          <w:rFonts w:ascii="Times New Roman" w:hAnsi="Times New Roman" w:cs="Times New Roman"/>
          <w:sz w:val="24"/>
          <w:szCs w:val="24"/>
        </w:rPr>
        <w:t>МКУ «ЦБ г.о. Октябрьск»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рассмотрения предложений по внесению изменений в Рабочий план счетов может запросить дополнительную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5320F">
        <w:rPr>
          <w:rFonts w:ascii="Times New Roman" w:eastAsia="Times New Roman" w:hAnsi="Times New Roman" w:cs="Times New Roman"/>
          <w:color w:val="000000"/>
          <w:sz w:val="24"/>
          <w:szCs w:val="24"/>
        </w:rPr>
        <w:t>у учреждения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субъекта централизованного учета.</w:t>
      </w:r>
    </w:p>
    <w:p w:rsidR="00CE2DCC" w:rsidRPr="00BA307B" w:rsidRDefault="00CE2DCC" w:rsidP="00CE2DC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Аналитическая информация, формируемая с применением Рабочего плана счетов с учетом внесенных изменений, представляется при раскрытии информации по всем </w:t>
      </w:r>
      <w:r w:rsidRPr="0095320F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учреждениям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субъектам централизованного учета.</w:t>
      </w:r>
    </w:p>
    <w:p w:rsidR="00CE2DCC" w:rsidRPr="0095320F" w:rsidRDefault="00CE2DCC" w:rsidP="00CE2DCC">
      <w:pPr>
        <w:rPr>
          <w:rFonts w:ascii="Times New Roman" w:hAnsi="Times New Roman" w:cs="Times New Roman"/>
          <w:sz w:val="24"/>
          <w:szCs w:val="24"/>
        </w:rPr>
      </w:pPr>
    </w:p>
    <w:p w:rsidR="004014CA" w:rsidRDefault="004014CA"/>
    <w:sectPr w:rsidR="004014CA" w:rsidSect="0090755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216" w:rsidRDefault="00335216" w:rsidP="00907552">
      <w:pPr>
        <w:spacing w:after="0" w:line="240" w:lineRule="auto"/>
      </w:pPr>
      <w:r>
        <w:separator/>
      </w:r>
    </w:p>
  </w:endnote>
  <w:endnote w:type="continuationSeparator" w:id="0">
    <w:p w:rsidR="00335216" w:rsidRDefault="00335216" w:rsidP="0090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216" w:rsidRDefault="00335216" w:rsidP="00907552">
      <w:pPr>
        <w:spacing w:after="0" w:line="240" w:lineRule="auto"/>
      </w:pPr>
      <w:r>
        <w:separator/>
      </w:r>
    </w:p>
  </w:footnote>
  <w:footnote w:type="continuationSeparator" w:id="0">
    <w:p w:rsidR="00335216" w:rsidRDefault="00335216" w:rsidP="0090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710239"/>
      <w:docPartObj>
        <w:docPartGallery w:val="Page Numbers (Top of Page)"/>
        <w:docPartUnique/>
      </w:docPartObj>
    </w:sdtPr>
    <w:sdtEndPr/>
    <w:sdtContent>
      <w:p w:rsidR="00907552" w:rsidRDefault="009075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0DE">
          <w:rPr>
            <w:noProof/>
          </w:rPr>
          <w:t>15</w:t>
        </w:r>
        <w:r>
          <w:fldChar w:fldCharType="end"/>
        </w:r>
      </w:p>
    </w:sdtContent>
  </w:sdt>
  <w:p w:rsidR="00907552" w:rsidRDefault="009075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4104E"/>
    <w:multiLevelType w:val="hybridMultilevel"/>
    <w:tmpl w:val="FB42AD84"/>
    <w:lvl w:ilvl="0" w:tplc="37AE70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B462A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B0B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613E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828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82"/>
    <w:rsid w:val="000A3F38"/>
    <w:rsid w:val="002A5380"/>
    <w:rsid w:val="002C4276"/>
    <w:rsid w:val="002E66BB"/>
    <w:rsid w:val="00335216"/>
    <w:rsid w:val="0039416D"/>
    <w:rsid w:val="004014CA"/>
    <w:rsid w:val="004B0F82"/>
    <w:rsid w:val="005B3A75"/>
    <w:rsid w:val="0065409E"/>
    <w:rsid w:val="00907552"/>
    <w:rsid w:val="009363FD"/>
    <w:rsid w:val="009C5DFE"/>
    <w:rsid w:val="009F732D"/>
    <w:rsid w:val="00A2623A"/>
    <w:rsid w:val="00A6148C"/>
    <w:rsid w:val="00AB11BE"/>
    <w:rsid w:val="00BC5744"/>
    <w:rsid w:val="00C73EEF"/>
    <w:rsid w:val="00C86181"/>
    <w:rsid w:val="00CE2DCC"/>
    <w:rsid w:val="00D10381"/>
    <w:rsid w:val="00D150DE"/>
    <w:rsid w:val="00D712D6"/>
    <w:rsid w:val="00DA39F6"/>
    <w:rsid w:val="00DD0450"/>
    <w:rsid w:val="00EC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687F"/>
  <w15:docId w15:val="{8A92D38C-5D20-41CA-ADD2-B2E06F5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DC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E2DC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E2D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2D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CE2DCC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CE2DCC"/>
  </w:style>
  <w:style w:type="paragraph" w:customStyle="1" w:styleId="ConsPlusNormal">
    <w:name w:val="ConsPlusNormal"/>
    <w:uiPriority w:val="99"/>
    <w:rsid w:val="00CE2D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2D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E2D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E2D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E2D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E2D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CE2D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pyright-info">
    <w:name w:val="copyright-info"/>
    <w:basedOn w:val="a"/>
    <w:rsid w:val="00CE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2DCC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rsid w:val="00CE2DCC"/>
  </w:style>
  <w:style w:type="paragraph" w:styleId="a6">
    <w:name w:val="header"/>
    <w:basedOn w:val="a"/>
    <w:link w:val="a5"/>
    <w:uiPriority w:val="99"/>
    <w:unhideWhenUsed/>
    <w:rsid w:val="00CE2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uiPriority w:val="99"/>
    <w:semiHidden/>
    <w:rsid w:val="00CE2DCC"/>
  </w:style>
  <w:style w:type="paragraph" w:styleId="a7">
    <w:name w:val="footer"/>
    <w:basedOn w:val="a"/>
    <w:link w:val="a8"/>
    <w:uiPriority w:val="99"/>
    <w:unhideWhenUsed/>
    <w:rsid w:val="00CE2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2DCC"/>
  </w:style>
  <w:style w:type="paragraph" w:customStyle="1" w:styleId="js-clipboard-title">
    <w:name w:val="js-clipboard-title"/>
    <w:basedOn w:val="a"/>
    <w:rsid w:val="00CE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CE2DC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E2DCC"/>
    <w:rPr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CE2DCC"/>
    <w:rPr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CE2DCC"/>
    <w:rPr>
      <w:b/>
      <w:bCs/>
    </w:rPr>
  </w:style>
  <w:style w:type="character" w:customStyle="1" w:styleId="14">
    <w:name w:val="Тема примечания Знак1"/>
    <w:basedOn w:val="aa"/>
    <w:uiPriority w:val="99"/>
    <w:semiHidden/>
    <w:rsid w:val="00CE2DCC"/>
    <w:rPr>
      <w:b/>
      <w:bCs/>
      <w:sz w:val="20"/>
      <w:szCs w:val="20"/>
    </w:rPr>
  </w:style>
  <w:style w:type="character" w:customStyle="1" w:styleId="ad">
    <w:name w:val="Текст выноски Знак"/>
    <w:basedOn w:val="a0"/>
    <w:link w:val="ae"/>
    <w:uiPriority w:val="99"/>
    <w:semiHidden/>
    <w:rsid w:val="00CE2DCC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CE2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CE2DCC"/>
    <w:rPr>
      <w:rFonts w:ascii="Segoe UI" w:hAnsi="Segoe UI" w:cs="Segoe UI"/>
      <w:sz w:val="18"/>
      <w:szCs w:val="18"/>
    </w:rPr>
  </w:style>
  <w:style w:type="character" w:customStyle="1" w:styleId="bookmark">
    <w:name w:val="bookmark"/>
    <w:basedOn w:val="a0"/>
    <w:rsid w:val="00CE2DCC"/>
  </w:style>
  <w:style w:type="paragraph" w:styleId="af">
    <w:name w:val="No Spacing"/>
    <w:uiPriority w:val="1"/>
    <w:qFormat/>
    <w:rsid w:val="00CE2DCC"/>
    <w:pPr>
      <w:spacing w:after="0" w:line="240" w:lineRule="auto"/>
    </w:pPr>
  </w:style>
  <w:style w:type="paragraph" w:customStyle="1" w:styleId="formattext">
    <w:name w:val="formattext"/>
    <w:basedOn w:val="a"/>
    <w:uiPriority w:val="99"/>
    <w:rsid w:val="00CE2DCC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CE2D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CE2D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DB830-6908-4A3C-B1A6-4A668124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3729</Words>
  <Characters>21259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Костерина</dc:creator>
  <cp:keywords/>
  <dc:description/>
  <cp:lastModifiedBy>Н.Г. Костерина</cp:lastModifiedBy>
  <cp:revision>24</cp:revision>
  <cp:lastPrinted>2023-01-12T11:06:00Z</cp:lastPrinted>
  <dcterms:created xsi:type="dcterms:W3CDTF">2023-01-12T10:59:00Z</dcterms:created>
  <dcterms:modified xsi:type="dcterms:W3CDTF">2025-09-24T07:04:00Z</dcterms:modified>
</cp:coreProperties>
</file>