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E0" w:rsidRPr="00D24132" w:rsidRDefault="005503E0" w:rsidP="005503E0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D24132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  <w:r>
        <w:rPr>
          <w:rFonts w:ascii="Times New Roman" w:hAnsi="Times New Roman" w:cs="Times New Roman"/>
          <w:b/>
          <w:sz w:val="40"/>
          <w:szCs w:val="40"/>
        </w:rPr>
        <w:t xml:space="preserve">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5503E0" w:rsidTr="00266521">
        <w:trPr>
          <w:trHeight w:val="415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5503E0" w:rsidTr="00266521">
        <w:trPr>
          <w:trHeight w:val="2506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:rsidR="005503E0" w:rsidRDefault="005503E0" w:rsidP="00266521">
            <w:pPr>
              <w:jc w:val="center"/>
              <w:rPr>
                <w:sz w:val="26"/>
                <w:szCs w:val="26"/>
              </w:rPr>
            </w:pPr>
          </w:p>
          <w:p w:rsidR="005503E0" w:rsidRDefault="005503E0" w:rsidP="00266521">
            <w:pPr>
              <w:jc w:val="center"/>
              <w:rPr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:rsidR="005503E0" w:rsidRPr="00DC3A6D" w:rsidRDefault="005503E0" w:rsidP="005503E0">
            <w:pPr>
              <w:rPr>
                <w:b/>
                <w:bCs/>
                <w:sz w:val="26"/>
                <w:szCs w:val="26"/>
              </w:rPr>
            </w:pPr>
            <w:r w:rsidRPr="00DC3A6D">
              <w:rPr>
                <w:b/>
                <w:bCs/>
                <w:sz w:val="26"/>
                <w:szCs w:val="26"/>
              </w:rPr>
              <w:t xml:space="preserve">Администрация городского округа </w:t>
            </w:r>
            <w:r>
              <w:rPr>
                <w:b/>
                <w:bCs/>
                <w:sz w:val="26"/>
                <w:szCs w:val="26"/>
              </w:rPr>
              <w:t>Октябрьск Самарской области</w:t>
            </w:r>
          </w:p>
        </w:tc>
        <w:tc>
          <w:tcPr>
            <w:tcW w:w="4955" w:type="dxa"/>
            <w:gridSpan w:val="5"/>
          </w:tcPr>
          <w:p w:rsidR="005503E0" w:rsidRPr="00DC3A6D" w:rsidRDefault="005503E0" w:rsidP="00266521">
            <w:pPr>
              <w:rPr>
                <w:b/>
                <w:bCs/>
                <w:sz w:val="26"/>
                <w:szCs w:val="26"/>
              </w:rPr>
            </w:pPr>
            <w:r w:rsidRPr="00DC3A6D">
              <w:rPr>
                <w:b/>
                <w:bCs/>
                <w:sz w:val="26"/>
                <w:szCs w:val="26"/>
              </w:rPr>
              <w:t>Муниципальный жилищный контроль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индикатора риска нарушения обязательных требований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proofErr w:type="gramStart"/>
            <w:r w:rsidRPr="00DB3FD8">
              <w:rPr>
                <w:sz w:val="26"/>
                <w:szCs w:val="26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</w:t>
            </w:r>
            <w:proofErr w:type="gramEnd"/>
            <w:r w:rsidRPr="00DB3FD8">
              <w:rPr>
                <w:sz w:val="26"/>
                <w:szCs w:val="26"/>
              </w:rPr>
              <w:t xml:space="preserve">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      </w:r>
          </w:p>
        </w:tc>
      </w:tr>
      <w:tr w:rsidR="005503E0" w:rsidTr="00266521">
        <w:trPr>
          <w:trHeight w:val="455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proofErr w:type="gramStart"/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  <w:proofErr w:type="gramEnd"/>
          </w:p>
        </w:tc>
      </w:tr>
      <w:tr w:rsidR="005503E0" w:rsidTr="00266521">
        <w:trPr>
          <w:trHeight w:val="45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503E0" w:rsidTr="00266521">
        <w:trPr>
          <w:trHeight w:val="972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831E29" w:rsidRPr="00831E29" w:rsidRDefault="003E4E0E" w:rsidP="00831E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31E29" w:rsidRPr="00831E29">
              <w:rPr>
                <w:sz w:val="26"/>
                <w:szCs w:val="26"/>
              </w:rPr>
              <w:t>Жилищный кодекс Российской Федерации</w:t>
            </w:r>
            <w:r>
              <w:rPr>
                <w:sz w:val="26"/>
                <w:szCs w:val="26"/>
              </w:rPr>
              <w:t>» от 29.12.2004 № 188-ФЗ</w:t>
            </w:r>
          </w:p>
          <w:p w:rsidR="00831E29" w:rsidRPr="00831E29" w:rsidRDefault="00FE756A" w:rsidP="00831E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(</w:t>
            </w:r>
            <w:hyperlink r:id="rId5" w:tooltip="Ссылка на КонсультантПлюс" w:history="1">
              <w:r w:rsidR="00831E29" w:rsidRPr="007032A7">
                <w:rPr>
                  <w:rStyle w:val="a4"/>
                  <w:i/>
                  <w:iCs/>
                  <w:sz w:val="24"/>
                  <w:szCs w:val="24"/>
                </w:rPr>
                <w:t>ЖК РФ {</w:t>
              </w:r>
              <w:proofErr w:type="spellStart"/>
              <w:r w:rsidR="00831E29" w:rsidRPr="007032A7">
                <w:rPr>
                  <w:rStyle w:val="a4"/>
                  <w:i/>
                  <w:iCs/>
                  <w:sz w:val="24"/>
                  <w:szCs w:val="24"/>
                </w:rPr>
                <w:t>КонсультантПлюс</w:t>
              </w:r>
              <w:proofErr w:type="spellEnd"/>
              <w:r w:rsidR="00831E29" w:rsidRPr="007032A7">
                <w:rPr>
                  <w:rStyle w:val="a4"/>
                  <w:i/>
                  <w:iCs/>
                  <w:sz w:val="24"/>
                  <w:szCs w:val="24"/>
                </w:rPr>
                <w:t>}</w:t>
              </w:r>
            </w:hyperlink>
            <w:r w:rsidRPr="007032A7">
              <w:rPr>
                <w:sz w:val="24"/>
                <w:szCs w:val="24"/>
              </w:rPr>
              <w:t>)</w:t>
            </w:r>
          </w:p>
          <w:p w:rsidR="00831E29" w:rsidRDefault="00831E29" w:rsidP="00831E29">
            <w:pPr>
              <w:rPr>
                <w:sz w:val="26"/>
                <w:szCs w:val="26"/>
              </w:rPr>
            </w:pPr>
          </w:p>
          <w:p w:rsidR="006610E3" w:rsidRDefault="006610E3" w:rsidP="00831E29">
            <w:pPr>
              <w:rPr>
                <w:sz w:val="26"/>
                <w:szCs w:val="26"/>
              </w:rPr>
            </w:pPr>
          </w:p>
          <w:p w:rsidR="006610E3" w:rsidRDefault="006610E3" w:rsidP="00831E29">
            <w:pPr>
              <w:rPr>
                <w:sz w:val="26"/>
                <w:szCs w:val="26"/>
              </w:rPr>
            </w:pPr>
          </w:p>
          <w:p w:rsidR="006610E3" w:rsidRDefault="006610E3" w:rsidP="00831E29">
            <w:pPr>
              <w:rPr>
                <w:sz w:val="26"/>
                <w:szCs w:val="26"/>
              </w:rPr>
            </w:pPr>
          </w:p>
          <w:p w:rsidR="006610E3" w:rsidRPr="00A94D2F" w:rsidRDefault="006610E3" w:rsidP="00831E29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94D2F" w:rsidRDefault="005503E0" w:rsidP="00266521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rFonts w:cstheme="minorHAnsi"/>
                <w:sz w:val="26"/>
                <w:szCs w:val="26"/>
              </w:rPr>
              <w:t xml:space="preserve">Раздел </w:t>
            </w:r>
            <w:r w:rsidRPr="00A94D2F">
              <w:rPr>
                <w:rFonts w:cstheme="minorHAnsi"/>
                <w:sz w:val="26"/>
                <w:szCs w:val="26"/>
                <w:lang w:val="en-US"/>
              </w:rPr>
              <w:t>II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841BEF">
        <w:trPr>
          <w:trHeight w:val="390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41BEF" w:rsidRPr="00841BEF" w:rsidRDefault="005503E0" w:rsidP="00266521">
            <w:pPr>
              <w:rPr>
                <w:sz w:val="26"/>
                <w:szCs w:val="26"/>
              </w:rPr>
            </w:pPr>
            <w:r w:rsidRPr="00A94D2F">
              <w:rPr>
                <w:rFonts w:cstheme="minorHAnsi"/>
                <w:sz w:val="26"/>
                <w:szCs w:val="26"/>
              </w:rPr>
              <w:t>Раздел II</w:t>
            </w:r>
            <w:r w:rsidR="00841BEF">
              <w:rPr>
                <w:rFonts w:cstheme="minorHAnsi"/>
                <w:sz w:val="26"/>
                <w:szCs w:val="26"/>
                <w:lang w:val="en-US"/>
              </w:rPr>
              <w:t>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841BEF" w:rsidTr="00266521">
        <w:trPr>
          <w:trHeight w:val="240"/>
        </w:trPr>
        <w:tc>
          <w:tcPr>
            <w:tcW w:w="563" w:type="dxa"/>
            <w:vMerge/>
          </w:tcPr>
          <w:p w:rsidR="00841BEF" w:rsidRPr="00191EA1" w:rsidRDefault="00841BEF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841BEF" w:rsidRPr="00A94D2F" w:rsidRDefault="00841BEF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41BEF" w:rsidRPr="00841BEF" w:rsidRDefault="00841BEF" w:rsidP="00266521">
            <w:pPr>
              <w:rPr>
                <w:rFonts w:cstheme="minorHAnsi"/>
                <w:sz w:val="26"/>
                <w:szCs w:val="26"/>
                <w:lang w:val="en-US"/>
              </w:rPr>
            </w:pPr>
            <w:r>
              <w:rPr>
                <w:rFonts w:cstheme="minorHAnsi"/>
                <w:sz w:val="26"/>
                <w:szCs w:val="26"/>
              </w:rPr>
              <w:t xml:space="preserve">Раздел </w:t>
            </w:r>
            <w:r>
              <w:rPr>
                <w:rFonts w:cstheme="minorHAnsi"/>
                <w:sz w:val="26"/>
                <w:szCs w:val="26"/>
                <w:lang w:val="en-US"/>
              </w:rPr>
              <w:t>IV</w:t>
            </w:r>
          </w:p>
        </w:tc>
        <w:tc>
          <w:tcPr>
            <w:tcW w:w="3255" w:type="dxa"/>
            <w:gridSpan w:val="3"/>
          </w:tcPr>
          <w:p w:rsidR="00841BEF" w:rsidRPr="00841BEF" w:rsidRDefault="00841BEF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94D2F" w:rsidRDefault="005503E0" w:rsidP="00266521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 xml:space="preserve">Раздел </w:t>
            </w:r>
            <w:r w:rsidRPr="00A94D2F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>Раздел VI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94D2F" w:rsidRDefault="005503E0" w:rsidP="00266521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>Раздел VI</w:t>
            </w:r>
            <w:r w:rsidRPr="00A94D2F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94D2F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94D2F" w:rsidRDefault="005503E0" w:rsidP="00266521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>Раздел</w:t>
            </w:r>
            <w:r w:rsidRPr="00A94D2F">
              <w:rPr>
                <w:sz w:val="26"/>
                <w:szCs w:val="26"/>
                <w:lang w:val="en-US"/>
              </w:rPr>
              <w:t xml:space="preserve"> VIII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3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  <w:p w:rsidR="00FE756A" w:rsidRPr="00AE0631" w:rsidRDefault="00FE756A" w:rsidP="00FE756A">
            <w:pPr>
              <w:jc w:val="both"/>
              <w:rPr>
                <w:sz w:val="26"/>
                <w:szCs w:val="26"/>
              </w:rPr>
            </w:pPr>
            <w:r>
              <w:t>(</w:t>
            </w:r>
            <w:hyperlink r:id="rId6" w:tooltip="Ссылка на КонсультантПлюс" w:history="1">
              <w:r>
                <w:rPr>
                  <w:rStyle w:val="a4"/>
                  <w:i/>
                  <w:iCs/>
                </w:rPr>
                <w:t>Федеральный закон от 21.07.2014 N 209-ФЗ (ред. от 13.12.2024) "О государственной информационной системе жилищно-коммунального хозяйства" {</w:t>
              </w:r>
              <w:proofErr w:type="spellStart"/>
              <w:r>
                <w:rPr>
                  <w:rStyle w:val="a4"/>
                  <w:i/>
                  <w:iCs/>
                </w:rPr>
                <w:t>КонсультантПлюс</w:t>
              </w:r>
              <w:proofErr w:type="spellEnd"/>
              <w:r>
                <w:rPr>
                  <w:rStyle w:val="a4"/>
                  <w:i/>
                  <w:iCs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6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2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7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11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8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678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rPr>
          <w:trHeight w:val="40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  <w:p w:rsidR="005256BF" w:rsidRPr="00AE0631" w:rsidRDefault="005256BF" w:rsidP="005256BF">
            <w:pPr>
              <w:jc w:val="both"/>
              <w:rPr>
                <w:sz w:val="26"/>
                <w:szCs w:val="26"/>
              </w:rPr>
            </w:pPr>
            <w:proofErr w:type="gramStart"/>
            <w:r>
              <w:t>(</w:t>
            </w:r>
            <w:hyperlink r:id="rId7" w:tooltip="Ссылка на КонсультантПлюс" w:history="1">
              <w:r>
                <w:rPr>
                  <w:rStyle w:val="a4"/>
                  <w:i/>
                  <w:iCs/>
                </w:rPr>
                <w:t xml:space="preserve">Постановление Правительства РФ от 13.08.2006 N 491 (ред. от 07.03.2025)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        </w:r>
              <w:r>
                <w:rPr>
                  <w:rStyle w:val="a4"/>
                  <w:i/>
                  <w:iCs/>
                </w:rPr>
                <w:lastRenderedPageBreak/>
                <w:t>многоквартирном доме ненадлежащего качества и (или) с перерывами, превышающими установленную продолжительность" {</w:t>
              </w:r>
              <w:proofErr w:type="spellStart"/>
              <w:r>
                <w:rPr>
                  <w:rStyle w:val="a4"/>
                  <w:i/>
                  <w:iCs/>
                </w:rPr>
                <w:t>КонсультантПлюс</w:t>
              </w:r>
              <w:proofErr w:type="spellEnd"/>
              <w:r>
                <w:rPr>
                  <w:rStyle w:val="a4"/>
                  <w:i/>
                  <w:iCs/>
                </w:rPr>
                <w:t>}</w:t>
              </w:r>
            </w:hyperlink>
            <w:r>
              <w:t>)</w:t>
            </w:r>
            <w:proofErr w:type="gramEnd"/>
          </w:p>
        </w:tc>
        <w:tc>
          <w:tcPr>
            <w:tcW w:w="3403" w:type="dxa"/>
            <w:gridSpan w:val="5"/>
          </w:tcPr>
          <w:p w:rsidR="005503E0" w:rsidRPr="00AE0631" w:rsidRDefault="005256BF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>Пункт</w:t>
            </w:r>
            <w:r w:rsidR="005503E0" w:rsidRPr="00AE0631">
              <w:rPr>
                <w:rFonts w:cstheme="minorHAnsi"/>
                <w:sz w:val="26"/>
                <w:szCs w:val="26"/>
              </w:rPr>
              <w:t xml:space="preserve"> 10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52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E0631" w:rsidRDefault="005256BF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Пункт</w:t>
            </w:r>
            <w:r w:rsidR="005503E0" w:rsidRPr="00AE0631">
              <w:rPr>
                <w:rFonts w:cstheme="minorHAnsi"/>
                <w:sz w:val="26"/>
                <w:szCs w:val="26"/>
              </w:rPr>
              <w:t xml:space="preserve"> 11</w:t>
            </w:r>
            <w:r w:rsidR="007032A7">
              <w:rPr>
                <w:rFonts w:cstheme="minorHAnsi"/>
                <w:sz w:val="26"/>
                <w:szCs w:val="26"/>
              </w:rPr>
              <w:t xml:space="preserve"> и 11 (1)</w:t>
            </w:r>
            <w:r w:rsidR="005503E0" w:rsidRPr="00AE0631">
              <w:rPr>
                <w:rFonts w:cstheme="minorHAnsi"/>
                <w:sz w:val="26"/>
                <w:szCs w:val="26"/>
              </w:rPr>
              <w:t xml:space="preserve">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52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E063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E0631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Пункт 10</w:t>
            </w:r>
            <w:r w:rsidRPr="00AE0631">
              <w:rPr>
                <w:sz w:val="26"/>
                <w:szCs w:val="26"/>
              </w:rPr>
              <w:t xml:space="preserve"> </w:t>
            </w:r>
            <w:r w:rsidRPr="00AE0631">
              <w:rPr>
                <w:rFonts w:cstheme="minorHAnsi"/>
                <w:sz w:val="26"/>
                <w:szCs w:val="26"/>
              </w:rPr>
              <w:t>Правил</w:t>
            </w:r>
          </w:p>
          <w:p w:rsidR="005503E0" w:rsidRPr="00AE0631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изменения платы за содержание жилого помещения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81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  <w:p w:rsidR="00036DB1" w:rsidRPr="00A05F83" w:rsidRDefault="00036DB1" w:rsidP="00266521">
            <w:pPr>
              <w:rPr>
                <w:sz w:val="26"/>
                <w:szCs w:val="26"/>
              </w:rPr>
            </w:pPr>
            <w:r>
              <w:t>(</w:t>
            </w:r>
            <w:hyperlink r:id="rId8" w:tooltip="Ссылка на КонсультантПлюс" w:history="1">
              <w:r w:rsidRPr="00036DB1">
                <w:rPr>
                  <w:i/>
                  <w:iCs/>
                  <w:color w:val="0000FF"/>
                  <w:u w:val="single"/>
                </w:rPr>
                <w:t>Постановление Правительства РФ от 06.05.2011 N 354 (ред. от 07.03.2025)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{</w:t>
              </w:r>
              <w:proofErr w:type="spellStart"/>
              <w:r w:rsidRPr="00036DB1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036DB1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Пункт 1 приложения № 1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3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Пункт 3 приложения № 1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3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Пункт 5 приложения № 1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3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Пункт 7 приложения № 1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2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11 приложения № 1</w:t>
            </w:r>
          </w:p>
        </w:tc>
        <w:tc>
          <w:tcPr>
            <w:tcW w:w="3255" w:type="dxa"/>
            <w:gridSpan w:val="3"/>
          </w:tcPr>
          <w:p w:rsidR="005503E0" w:rsidRPr="005E3B91" w:rsidRDefault="005503E0" w:rsidP="00266521">
            <w:pPr>
              <w:rPr>
                <w:sz w:val="26"/>
                <w:szCs w:val="26"/>
              </w:rPr>
            </w:pPr>
            <w:r w:rsidRPr="00D1592E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53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Пункт 15 приложения № 1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67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036DB1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Раздел 11 п</w:t>
            </w:r>
            <w:r w:rsidR="005503E0" w:rsidRPr="00A05F83">
              <w:rPr>
                <w:rFonts w:cstheme="minorHAnsi"/>
                <w:sz w:val="26"/>
                <w:szCs w:val="26"/>
              </w:rPr>
              <w:t xml:space="preserve">ункт 117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2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036DB1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Раздел 11 п</w:t>
            </w:r>
            <w:r w:rsidR="005503E0" w:rsidRPr="00A05F83">
              <w:rPr>
                <w:rFonts w:cstheme="minorHAnsi"/>
                <w:sz w:val="26"/>
                <w:szCs w:val="26"/>
              </w:rPr>
              <w:t>ункт 118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2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036DB1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Раздел 11 п</w:t>
            </w:r>
            <w:r w:rsidR="005503E0" w:rsidRPr="00A05F83">
              <w:rPr>
                <w:rFonts w:cstheme="minorHAnsi"/>
                <w:sz w:val="26"/>
                <w:szCs w:val="26"/>
              </w:rPr>
              <w:t>ункт 119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 xml:space="preserve">Постановление Правительства РФ от 03.04.2013 № 290 «О минимальном перечне услуг и работ, необходимых для обеспечения надлежащего содержания общего </w:t>
            </w:r>
            <w:r w:rsidRPr="00A05F83">
              <w:rPr>
                <w:sz w:val="26"/>
                <w:szCs w:val="26"/>
              </w:rPr>
              <w:lastRenderedPageBreak/>
              <w:t>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  <w:p w:rsidR="000E7BBA" w:rsidRPr="00A05F83" w:rsidRDefault="000E7BBA" w:rsidP="00266521">
            <w:pPr>
              <w:rPr>
                <w:sz w:val="26"/>
                <w:szCs w:val="26"/>
              </w:rPr>
            </w:pPr>
            <w:proofErr w:type="gramStart"/>
            <w:r>
              <w:t>(</w:t>
            </w:r>
            <w:hyperlink r:id="rId9" w:tooltip="Ссылка на КонсультантПлюс" w:history="1">
              <w:r w:rsidRPr="000E7BBA">
                <w:rPr>
                  <w:i/>
                  <w:iCs/>
                  <w:color w:val="0000FF"/>
                  <w:u w:val="single"/>
                </w:rPr>
                <w:t>Постановление Правительства РФ от 03.04.2013 N 290 (ред. от 07.03.2025)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 {</w:t>
              </w:r>
              <w:proofErr w:type="spellStart"/>
              <w:r w:rsidRPr="000E7BBA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0E7BBA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  <w:proofErr w:type="gramEnd"/>
          </w:p>
        </w:tc>
        <w:tc>
          <w:tcPr>
            <w:tcW w:w="3403" w:type="dxa"/>
            <w:gridSpan w:val="5"/>
          </w:tcPr>
          <w:p w:rsidR="005503E0" w:rsidRPr="00A05F83" w:rsidRDefault="004F6FCC" w:rsidP="00E52B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Разделы 1,2,3 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Default="005503E0" w:rsidP="00266521">
            <w:pPr>
              <w:rPr>
                <w:sz w:val="26"/>
                <w:szCs w:val="26"/>
              </w:rPr>
            </w:pPr>
          </w:p>
          <w:p w:rsidR="000E7BBA" w:rsidRDefault="000E7BBA" w:rsidP="00266521">
            <w:pPr>
              <w:rPr>
                <w:sz w:val="26"/>
                <w:szCs w:val="26"/>
              </w:rPr>
            </w:pPr>
          </w:p>
          <w:p w:rsidR="000E7BBA" w:rsidRPr="00A05F83" w:rsidRDefault="000E7BBA" w:rsidP="00266521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rPr>
          <w:trHeight w:val="325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</w:t>
            </w:r>
          </w:p>
          <w:p w:rsidR="000E7BBA" w:rsidRPr="00A05F83" w:rsidRDefault="000E7BBA" w:rsidP="00266521">
            <w:pPr>
              <w:rPr>
                <w:sz w:val="26"/>
                <w:szCs w:val="26"/>
              </w:rPr>
            </w:pPr>
            <w:r>
              <w:t>(</w:t>
            </w:r>
            <w:hyperlink r:id="rId10" w:tooltip="Ссылка на КонсультантПлюс" w:history="1">
              <w:r w:rsidRPr="000E7BBA">
                <w:rPr>
                  <w:i/>
                  <w:iCs/>
                  <w:color w:val="0000FF"/>
                  <w:u w:val="single"/>
                </w:rPr>
                <w:t xml:space="preserve">Постановление Правительства РФ от 15.05.2013 N 416 (ред. от 21.12.2023) "О порядке осуществления деятельности по управлению многоквартирными домами" </w:t>
              </w:r>
              <w:r w:rsidRPr="000E7BBA">
                <w:rPr>
                  <w:i/>
                  <w:iCs/>
                  <w:color w:val="0000FF"/>
                  <w:u w:val="single"/>
                </w:rPr>
                <w:lastRenderedPageBreak/>
                <w:t>(вместе с "Правилами осуществления деятельности по управлению многоквартирными домами") {</w:t>
              </w:r>
              <w:proofErr w:type="spellStart"/>
              <w:r w:rsidRPr="000E7BBA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0E7BBA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lastRenderedPageBreak/>
              <w:t xml:space="preserve">Раздел II 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95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III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96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IV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10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VII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396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VIII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24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rPr>
          <w:trHeight w:val="81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rPr>
          <w:trHeight w:val="409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5503E0" w:rsidRDefault="005503E0" w:rsidP="00266521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Приказ Минстроя России от 07.02.2024 N 79/</w:t>
            </w:r>
            <w:proofErr w:type="spellStart"/>
            <w:proofErr w:type="gramStart"/>
            <w:r w:rsidRPr="00A05F83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A05F83">
              <w:rPr>
                <w:sz w:val="26"/>
                <w:szCs w:val="26"/>
              </w:rPr>
              <w:t xml:space="preserve"> 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</w:t>
            </w:r>
          </w:p>
          <w:p w:rsidR="00E3311B" w:rsidRPr="00A05F83" w:rsidRDefault="00E3311B" w:rsidP="00266521">
            <w:pPr>
              <w:rPr>
                <w:sz w:val="26"/>
                <w:szCs w:val="26"/>
              </w:rPr>
            </w:pPr>
            <w:r>
              <w:t>(</w:t>
            </w:r>
            <w:hyperlink r:id="rId11" w:tooltip="Ссылка на КонсультантПлюс" w:history="1">
              <w:r w:rsidRPr="00E3311B">
                <w:rPr>
                  <w:i/>
                  <w:iCs/>
                  <w:color w:val="0000FF"/>
                  <w:u w:val="single"/>
                </w:rPr>
                <w:t>Приказ Минстроя России от 07.02.2024 N 79/</w:t>
              </w:r>
              <w:proofErr w:type="spellStart"/>
              <w:proofErr w:type="gramStart"/>
              <w:r w:rsidRPr="00E3311B">
                <w:rPr>
                  <w:i/>
                  <w:iCs/>
                  <w:color w:val="0000FF"/>
                  <w:u w:val="single"/>
                </w:rPr>
                <w:t>пр</w:t>
              </w:r>
              <w:proofErr w:type="spellEnd"/>
              <w:proofErr w:type="gramEnd"/>
              <w:r w:rsidRPr="00E3311B">
                <w:rPr>
                  <w:i/>
                  <w:iCs/>
                  <w:color w:val="0000FF"/>
                  <w:u w:val="single"/>
                </w:rPr>
                <w:t xml:space="preserve"> (ред. от 13.02.2025)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{</w:t>
              </w:r>
              <w:proofErr w:type="spellStart"/>
              <w:r w:rsidRPr="00E3311B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E3311B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Глава IX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10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Глава XI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5503E0" w:rsidTr="00266521">
        <w:trPr>
          <w:trHeight w:val="4433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5503E0" w:rsidRPr="00A05F83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5503E0" w:rsidRPr="00A05F83" w:rsidRDefault="005503E0" w:rsidP="0026652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5E3B91" w:rsidRDefault="005503E0" w:rsidP="00266521">
            <w:pPr>
              <w:rPr>
                <w:sz w:val="26"/>
                <w:szCs w:val="26"/>
              </w:rPr>
            </w:pPr>
          </w:p>
        </w:tc>
      </w:tr>
      <w:tr w:rsidR="00883D77" w:rsidTr="00266521">
        <w:trPr>
          <w:trHeight w:val="395"/>
        </w:trPr>
        <w:tc>
          <w:tcPr>
            <w:tcW w:w="563" w:type="dxa"/>
            <w:vMerge w:val="restart"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:rsidR="00883D77" w:rsidRDefault="00883D77" w:rsidP="00266521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 xml:space="preserve">Постановление Госстроя РФ от 27.09.2003 № 170 "Об утверждении Правил и норм технической эксплуатации жилищного фонда" </w:t>
            </w:r>
          </w:p>
          <w:p w:rsidR="00883D77" w:rsidRPr="00A05F83" w:rsidRDefault="00883D77" w:rsidP="00266521">
            <w:pPr>
              <w:rPr>
                <w:sz w:val="26"/>
                <w:szCs w:val="26"/>
              </w:rPr>
            </w:pPr>
            <w:r>
              <w:t>(</w:t>
            </w:r>
            <w:hyperlink r:id="rId12" w:tooltip="Ссылка на КонсультантПлюс" w:history="1">
              <w:r w:rsidRPr="00E3311B">
                <w:rPr>
                  <w:i/>
                  <w:iCs/>
                  <w:color w:val="0000FF"/>
                  <w:u w:val="single"/>
                </w:rPr>
                <w:t xml:space="preserve">Постановление Госстроя РФ </w:t>
              </w:r>
              <w:r w:rsidRPr="00E3311B">
                <w:rPr>
                  <w:i/>
                  <w:iCs/>
                  <w:color w:val="0000FF"/>
                  <w:u w:val="single"/>
                </w:rPr>
                <w:lastRenderedPageBreak/>
                <w:t>от 27.09.2003 N 170 "Об утверждении Правил и норм технической эксплуатации жилищного фонда" {</w:t>
              </w:r>
              <w:proofErr w:type="spellStart"/>
              <w:r w:rsidRPr="00E3311B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E3311B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883D77" w:rsidRPr="00A05F83" w:rsidRDefault="00883D77" w:rsidP="00266521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A05F83">
              <w:rPr>
                <w:rFonts w:cstheme="minorHAnsi"/>
                <w:sz w:val="26"/>
                <w:szCs w:val="26"/>
              </w:rPr>
              <w:lastRenderedPageBreak/>
              <w:t xml:space="preserve">Разделы </w:t>
            </w:r>
            <w:r w:rsidRPr="00A05F83">
              <w:rPr>
                <w:rFonts w:cstheme="minorHAnsi"/>
                <w:sz w:val="26"/>
                <w:szCs w:val="26"/>
                <w:lang w:val="en-US"/>
              </w:rPr>
              <w:t>II-V</w:t>
            </w:r>
          </w:p>
        </w:tc>
        <w:tc>
          <w:tcPr>
            <w:tcW w:w="3255" w:type="dxa"/>
            <w:gridSpan w:val="3"/>
          </w:tcPr>
          <w:p w:rsidR="00883D77" w:rsidRPr="00191EA1" w:rsidRDefault="00883D77" w:rsidP="00266521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883D77" w:rsidTr="00266521">
        <w:trPr>
          <w:trHeight w:val="325"/>
        </w:trPr>
        <w:tc>
          <w:tcPr>
            <w:tcW w:w="563" w:type="dxa"/>
            <w:vMerge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883D77" w:rsidRPr="00A05F83" w:rsidRDefault="00883D77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83D77" w:rsidRPr="00A05F83" w:rsidRDefault="00883D77" w:rsidP="0026652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883D77" w:rsidRPr="00191EA1" w:rsidRDefault="00883D77" w:rsidP="00266521">
            <w:pPr>
              <w:rPr>
                <w:sz w:val="26"/>
                <w:szCs w:val="26"/>
              </w:rPr>
            </w:pPr>
          </w:p>
        </w:tc>
      </w:tr>
      <w:tr w:rsidR="00883D77" w:rsidTr="006610E3">
        <w:trPr>
          <w:trHeight w:val="1440"/>
        </w:trPr>
        <w:tc>
          <w:tcPr>
            <w:tcW w:w="563" w:type="dxa"/>
            <w:vMerge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:rsidR="00883D77" w:rsidRPr="00A05F83" w:rsidRDefault="00883D77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83D77" w:rsidRPr="00A05F83" w:rsidRDefault="00883D77" w:rsidP="0026652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883D77" w:rsidRPr="00191EA1" w:rsidRDefault="00883D77" w:rsidP="00266521">
            <w:pPr>
              <w:rPr>
                <w:sz w:val="26"/>
                <w:szCs w:val="26"/>
              </w:rPr>
            </w:pPr>
          </w:p>
        </w:tc>
      </w:tr>
      <w:tr w:rsidR="00883D77" w:rsidTr="006610E3">
        <w:trPr>
          <w:trHeight w:val="540"/>
        </w:trPr>
        <w:tc>
          <w:tcPr>
            <w:tcW w:w="563" w:type="dxa"/>
            <w:vMerge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</w:tcPr>
          <w:p w:rsidR="00883D77" w:rsidRDefault="00883D77" w:rsidP="00266521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883D77" w:rsidRPr="00A05F83" w:rsidRDefault="00883D77" w:rsidP="00266521">
            <w:pPr>
              <w:rPr>
                <w:sz w:val="26"/>
                <w:szCs w:val="26"/>
              </w:rPr>
            </w:pPr>
            <w:r>
              <w:t>(</w:t>
            </w:r>
            <w:hyperlink r:id="rId13" w:tooltip="Ссылка на КонсультантПлюс" w:history="1">
              <w:r w:rsidRPr="00E3311B">
                <w:rPr>
                  <w:i/>
                  <w:iCs/>
                  <w:color w:val="0000FF"/>
                  <w:u w:val="single"/>
                </w:rPr>
                <w:t>Федеральный закон от 23.11.2009 N 261-ФЗ (ред. от 31.07.2025) "Об энергосбережении и о повышении энергетической эффективности и о внесении изменений в отдельные законодательные акты Российской Федерации" {</w:t>
              </w:r>
              <w:proofErr w:type="spellStart"/>
              <w:r w:rsidRPr="00E3311B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E3311B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</w:tc>
        <w:tc>
          <w:tcPr>
            <w:tcW w:w="3403" w:type="dxa"/>
            <w:gridSpan w:val="5"/>
          </w:tcPr>
          <w:p w:rsidR="00883D77" w:rsidRPr="00A05F83" w:rsidRDefault="00883D77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Статьи 11,13</w:t>
            </w:r>
          </w:p>
        </w:tc>
        <w:tc>
          <w:tcPr>
            <w:tcW w:w="3255" w:type="dxa"/>
            <w:gridSpan w:val="3"/>
          </w:tcPr>
          <w:p w:rsidR="00883D77" w:rsidRPr="00191EA1" w:rsidRDefault="00883D77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отсутствуют</w:t>
            </w:r>
          </w:p>
        </w:tc>
      </w:tr>
      <w:tr w:rsidR="00883D77" w:rsidTr="00883D77">
        <w:trPr>
          <w:trHeight w:val="3405"/>
        </w:trPr>
        <w:tc>
          <w:tcPr>
            <w:tcW w:w="563" w:type="dxa"/>
            <w:vMerge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</w:tcPr>
          <w:p w:rsidR="00883D77" w:rsidRDefault="00883D77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Минстроя России от 14.05.2021 № 292/</w:t>
            </w:r>
            <w:proofErr w:type="spellStart"/>
            <w:proofErr w:type="gramStart"/>
            <w:r>
              <w:rPr>
                <w:sz w:val="26"/>
                <w:szCs w:val="26"/>
              </w:rPr>
              <w:t>пр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«Об утверждении правил пользования жилыми помещениями» </w:t>
            </w:r>
          </w:p>
          <w:p w:rsidR="00883D77" w:rsidRDefault="00883D77" w:rsidP="00266521">
            <w:r>
              <w:t>(</w:t>
            </w:r>
            <w:hyperlink r:id="rId14" w:tooltip="Ссылка на КонсультантПлюс" w:history="1">
              <w:r w:rsidRPr="00E3311B">
                <w:rPr>
                  <w:i/>
                  <w:iCs/>
                  <w:color w:val="0000FF"/>
                  <w:u w:val="single"/>
                </w:rPr>
                <w:t>Приказ Минстроя России от 14.05.2021 N 292/</w:t>
              </w:r>
              <w:proofErr w:type="spellStart"/>
              <w:proofErr w:type="gramStart"/>
              <w:r w:rsidRPr="00E3311B">
                <w:rPr>
                  <w:i/>
                  <w:iCs/>
                  <w:color w:val="0000FF"/>
                  <w:u w:val="single"/>
                </w:rPr>
                <w:t>пр</w:t>
              </w:r>
              <w:proofErr w:type="spellEnd"/>
              <w:proofErr w:type="gramEnd"/>
              <w:r w:rsidRPr="00E3311B">
                <w:rPr>
                  <w:i/>
                  <w:iCs/>
                  <w:color w:val="0000FF"/>
                  <w:u w:val="single"/>
                </w:rPr>
                <w:t xml:space="preserve"> "Об утверждении правил пользования жилыми помещениями" {</w:t>
              </w:r>
              <w:proofErr w:type="spellStart"/>
              <w:r w:rsidRPr="00E3311B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E3311B">
                <w:rPr>
                  <w:i/>
                  <w:iCs/>
                  <w:color w:val="0000FF"/>
                  <w:u w:val="single"/>
                </w:rPr>
                <w:t>}</w:t>
              </w:r>
            </w:hyperlink>
            <w:r>
              <w:t>)</w:t>
            </w:r>
          </w:p>
          <w:p w:rsidR="00883D77" w:rsidRDefault="00883D77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83D77" w:rsidRPr="00A05F83" w:rsidRDefault="00883D77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Разделы 1,2,3,5,6,7</w:t>
            </w:r>
          </w:p>
        </w:tc>
        <w:tc>
          <w:tcPr>
            <w:tcW w:w="3255" w:type="dxa"/>
            <w:gridSpan w:val="3"/>
          </w:tcPr>
          <w:p w:rsidR="00883D77" w:rsidRPr="00191EA1" w:rsidRDefault="00883D77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отсутствуют</w:t>
            </w:r>
          </w:p>
        </w:tc>
      </w:tr>
      <w:tr w:rsidR="00883D77" w:rsidTr="00266521">
        <w:trPr>
          <w:trHeight w:val="1710"/>
        </w:trPr>
        <w:tc>
          <w:tcPr>
            <w:tcW w:w="563" w:type="dxa"/>
            <w:vMerge/>
          </w:tcPr>
          <w:p w:rsidR="00883D77" w:rsidRPr="00191EA1" w:rsidRDefault="00883D77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</w:tcPr>
          <w:p w:rsidR="00883D77" w:rsidRPr="00883D77" w:rsidRDefault="00A16F22" w:rsidP="0026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28.01.2006 № 47 «</w:t>
            </w:r>
            <w:r w:rsidR="00FC42A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</w:t>
            </w:r>
            <w:r w:rsidR="00FC4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883D77" w:rsidRDefault="00B5367A" w:rsidP="00266521">
            <w:hyperlink r:id="rId15" w:tooltip="Ссылка на КонсультантПлюс" w:history="1">
              <w:r w:rsidRPr="00B5367A">
                <w:rPr>
                  <w:i/>
                  <w:iCs/>
                  <w:color w:val="0000FF"/>
                  <w:u w:val="single"/>
                </w:rPr>
                <w:t>Постановление Правительства РФ от 28.01.2006 N 47 (ред. от 19.10.2024)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{</w:t>
              </w:r>
              <w:proofErr w:type="spellStart"/>
              <w:r w:rsidRPr="00B5367A">
                <w:rPr>
                  <w:i/>
                  <w:iCs/>
                  <w:color w:val="0000FF"/>
                  <w:u w:val="single"/>
                </w:rPr>
                <w:t>КонсультантПлюс</w:t>
              </w:r>
              <w:proofErr w:type="spellEnd"/>
              <w:r w:rsidRPr="00B5367A">
                <w:rPr>
                  <w:i/>
                  <w:iCs/>
                  <w:color w:val="0000FF"/>
                  <w:u w:val="single"/>
                </w:rPr>
                <w:t>}</w:t>
              </w:r>
            </w:hyperlink>
          </w:p>
          <w:p w:rsidR="00883D77" w:rsidRDefault="00883D77" w:rsidP="00266521"/>
          <w:p w:rsidR="00883D77" w:rsidRDefault="00883D77" w:rsidP="00266521"/>
          <w:p w:rsidR="00883D77" w:rsidRDefault="00883D77" w:rsidP="00266521"/>
          <w:p w:rsidR="00883D77" w:rsidRDefault="00883D77" w:rsidP="0026652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:rsidR="00883D77" w:rsidRDefault="00B5367A" w:rsidP="0026652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>Разделы 1,2,3,4,5</w:t>
            </w:r>
          </w:p>
        </w:tc>
        <w:tc>
          <w:tcPr>
            <w:tcW w:w="3255" w:type="dxa"/>
            <w:gridSpan w:val="3"/>
          </w:tcPr>
          <w:p w:rsidR="00883D77" w:rsidRDefault="00B5367A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отсутствуют</w:t>
            </w:r>
          </w:p>
        </w:tc>
      </w:tr>
      <w:tr w:rsidR="00C62F01" w:rsidTr="00266521">
        <w:tc>
          <w:tcPr>
            <w:tcW w:w="563" w:type="dxa"/>
            <w:vMerge w:val="restart"/>
          </w:tcPr>
          <w:p w:rsidR="00C62F0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:rsidR="00C62F01" w:rsidRPr="00191EA1" w:rsidRDefault="00C62F01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Объект  контроля</w:t>
            </w:r>
          </w:p>
        </w:tc>
      </w:tr>
      <w:tr w:rsidR="00C62F01" w:rsidTr="00266521">
        <w:tc>
          <w:tcPr>
            <w:tcW w:w="563" w:type="dxa"/>
            <w:vMerge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:rsidR="00C62F01" w:rsidRPr="00191EA1" w:rsidRDefault="00C62F0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:rsidR="00C62F01" w:rsidRPr="00191EA1" w:rsidRDefault="00C62F0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:rsidR="00C62F01" w:rsidRPr="00191EA1" w:rsidRDefault="00C62F01" w:rsidP="00266521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C62F01" w:rsidTr="00266521">
        <w:trPr>
          <w:trHeight w:val="423"/>
        </w:trPr>
        <w:tc>
          <w:tcPr>
            <w:tcW w:w="563" w:type="dxa"/>
            <w:vMerge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</w:t>
            </w:r>
            <w:r w:rsidRPr="004F71FA">
              <w:rPr>
                <w:sz w:val="26"/>
                <w:szCs w:val="26"/>
              </w:rPr>
              <w:lastRenderedPageBreak/>
              <w:t>жилищного фонда</w:t>
            </w:r>
          </w:p>
        </w:tc>
        <w:tc>
          <w:tcPr>
            <w:tcW w:w="3403" w:type="dxa"/>
            <w:gridSpan w:val="5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C62F01" w:rsidTr="00C62F01">
        <w:trPr>
          <w:trHeight w:val="2640"/>
        </w:trPr>
        <w:tc>
          <w:tcPr>
            <w:tcW w:w="563" w:type="dxa"/>
            <w:vMerge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:rsidR="00C62F01" w:rsidRDefault="00C62F01" w:rsidP="00266521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Pr="004F71FA" w:rsidRDefault="00C62F01" w:rsidP="00266521">
            <w:pPr>
              <w:rPr>
                <w:sz w:val="26"/>
                <w:szCs w:val="26"/>
              </w:rPr>
            </w:pPr>
          </w:p>
        </w:tc>
      </w:tr>
      <w:tr w:rsidR="00C62F01" w:rsidTr="00266521">
        <w:trPr>
          <w:trHeight w:val="3375"/>
        </w:trPr>
        <w:tc>
          <w:tcPr>
            <w:tcW w:w="563" w:type="dxa"/>
            <w:vMerge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62F01" w:rsidRPr="00191EA1" w:rsidRDefault="00C62F01" w:rsidP="00266521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:rsidR="00C62F01" w:rsidRPr="004F71FA" w:rsidRDefault="00C62F01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</w:t>
            </w:r>
            <w:r w:rsidR="00883D77">
              <w:rPr>
                <w:sz w:val="26"/>
                <w:szCs w:val="26"/>
              </w:rPr>
              <w:t>язательные требования, указанных в пунктах 1-12 части 1 статьи 20 Жилищного кодекса РФ в отношении муниципального жилищного фонда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3" w:type="dxa"/>
            <w:gridSpan w:val="5"/>
          </w:tcPr>
          <w:p w:rsidR="00C62F01" w:rsidRPr="004F71FA" w:rsidRDefault="00883D77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указанных в пунктах 1-12 части 1 статьи 20 Жилищного кодекса РФ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:rsidR="00C62F01" w:rsidRDefault="00883D77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указанных в пунктах 1-12 части 1 статьи 20 Жилищного кодекса РФ в отношении муниципального жилищного фонда</w:t>
            </w: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Default="00C62F01" w:rsidP="00266521">
            <w:pPr>
              <w:rPr>
                <w:sz w:val="26"/>
                <w:szCs w:val="26"/>
              </w:rPr>
            </w:pPr>
          </w:p>
          <w:p w:rsidR="00C62F01" w:rsidRPr="004F71FA" w:rsidRDefault="00C62F01" w:rsidP="00266521">
            <w:pPr>
              <w:rPr>
                <w:sz w:val="26"/>
                <w:szCs w:val="26"/>
              </w:rPr>
            </w:pPr>
          </w:p>
        </w:tc>
      </w:tr>
      <w:tr w:rsidR="005503E0" w:rsidTr="00266521"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6</w:t>
            </w:r>
            <w:proofErr w:type="gramEnd"/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Квартал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7</w:t>
            </w:r>
            <w:proofErr w:type="gramEnd"/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gramStart"/>
            <w:r>
              <w:rPr>
                <w:b/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rFonts w:cstheme="minorHAnsi"/>
                <w:b/>
                <w:sz w:val="26"/>
                <w:szCs w:val="26"/>
              </w:rPr>
              <w:t>×</w:t>
            </w:r>
            <w:r>
              <w:rPr>
                <w:b/>
                <w:sz w:val="26"/>
                <w:szCs w:val="26"/>
              </w:rPr>
              <w:t>3 ≥ К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proofErr w:type="gramStart"/>
            <w:r w:rsidRPr="00191EA1">
              <w:rPr>
                <w:sz w:val="26"/>
                <w:szCs w:val="26"/>
                <w:vertAlign w:val="superscript"/>
              </w:rPr>
              <w:t>9</w:t>
            </w:r>
            <w:proofErr w:type="gramEnd"/>
          </w:p>
        </w:tc>
        <w:tc>
          <w:tcPr>
            <w:tcW w:w="662" w:type="dxa"/>
            <w:gridSpan w:val="2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:rsidR="005503E0" w:rsidRPr="00DB4262" w:rsidRDefault="005503E0" w:rsidP="00266521">
            <w:pPr>
              <w:jc w:val="center"/>
              <w:rPr>
                <w:b/>
                <w:sz w:val="24"/>
                <w:szCs w:val="24"/>
              </w:rPr>
            </w:pPr>
            <w:r w:rsidRPr="00DB426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3440" w:type="dxa"/>
            <w:gridSpan w:val="6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за расчетный период текущего </w:t>
            </w:r>
            <w:r w:rsidRPr="00DB4262">
              <w:rPr>
                <w:b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255" w:type="dxa"/>
            <w:gridSpan w:val="3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lastRenderedPageBreak/>
              <w:t xml:space="preserve">Обращения граждан, организаций, </w:t>
            </w:r>
            <w:r w:rsidRPr="00DB4262">
              <w:rPr>
                <w:b/>
                <w:sz w:val="26"/>
                <w:szCs w:val="26"/>
              </w:rPr>
              <w:lastRenderedPageBreak/>
              <w:t>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:rsidR="005503E0" w:rsidRPr="003D358F" w:rsidRDefault="005503E0" w:rsidP="00266521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К</w:t>
            </w:r>
            <w:proofErr w:type="gramStart"/>
            <w:r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3440" w:type="dxa"/>
            <w:gridSpan w:val="6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255" w:type="dxa"/>
            <w:gridSpan w:val="3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sz w:val="26"/>
                <w:szCs w:val="26"/>
              </w:rPr>
            </w:pPr>
            <w:r w:rsidRPr="003D358F">
              <w:rPr>
                <w:sz w:val="26"/>
                <w:szCs w:val="26"/>
              </w:rPr>
              <w:t>Период расчета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Месяц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sz w:val="26"/>
                <w:szCs w:val="26"/>
              </w:rPr>
            </w:pPr>
            <w:r w:rsidRPr="003D358F">
              <w:rPr>
                <w:sz w:val="26"/>
                <w:szCs w:val="26"/>
              </w:rPr>
              <w:t>Формула расчета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 w:rsidRPr="003D358F">
              <w:rPr>
                <w:b/>
                <w:sz w:val="26"/>
                <w:szCs w:val="26"/>
              </w:rPr>
              <w:t>М</w:t>
            </w:r>
            <w:proofErr w:type="gramStart"/>
            <w:r w:rsidRPr="003D358F">
              <w:rPr>
                <w:b/>
                <w:sz w:val="26"/>
                <w:szCs w:val="26"/>
                <w:vertAlign w:val="subscript"/>
              </w:rPr>
              <w:t>1</w:t>
            </w:r>
            <w:proofErr w:type="gramEnd"/>
            <w:r w:rsidRPr="003D358F">
              <w:rPr>
                <w:b/>
                <w:sz w:val="26"/>
                <w:szCs w:val="26"/>
              </w:rPr>
              <w:t xml:space="preserve"> ≥ </w:t>
            </w:r>
            <w:r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:rsidR="005503E0" w:rsidRPr="003D358F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5503E0" w:rsidTr="00266521">
        <w:tc>
          <w:tcPr>
            <w:tcW w:w="563" w:type="dxa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:rsidR="005503E0" w:rsidRPr="00DB4262" w:rsidRDefault="005503E0" w:rsidP="00266521">
            <w:pPr>
              <w:jc w:val="center"/>
              <w:rPr>
                <w:b/>
                <w:sz w:val="24"/>
                <w:szCs w:val="24"/>
              </w:rPr>
            </w:pPr>
            <w:r w:rsidRPr="003D358F">
              <w:rPr>
                <w:b/>
                <w:sz w:val="26"/>
                <w:szCs w:val="26"/>
              </w:rPr>
              <w:t>М</w:t>
            </w:r>
            <w:proofErr w:type="gramStart"/>
            <w:r w:rsidRPr="003D358F">
              <w:rPr>
                <w:b/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3440" w:type="dxa"/>
            <w:gridSpan w:val="6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5503E0" w:rsidTr="00266521">
        <w:tc>
          <w:tcPr>
            <w:tcW w:w="563" w:type="dxa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:rsidR="005503E0" w:rsidRPr="00DB4262" w:rsidRDefault="005503E0" w:rsidP="00266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3440" w:type="dxa"/>
            <w:gridSpan w:val="6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255" w:type="dxa"/>
            <w:gridSpan w:val="3"/>
          </w:tcPr>
          <w:p w:rsidR="005503E0" w:rsidRPr="00DB4262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Обращения граждан, организаций, информация от органов государственной власти, </w:t>
            </w:r>
            <w:r w:rsidRPr="00DB4262">
              <w:rPr>
                <w:b/>
                <w:sz w:val="26"/>
                <w:szCs w:val="26"/>
              </w:rPr>
              <w:lastRenderedPageBreak/>
              <w:t>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5503E0" w:rsidTr="00266521">
        <w:trPr>
          <w:trHeight w:val="868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2320DC" w:rsidRDefault="005503E0" w:rsidP="0026652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</w:t>
            </w:r>
            <w:proofErr w:type="gramStart"/>
            <w:r w:rsidRPr="00191EA1">
              <w:rPr>
                <w:sz w:val="26"/>
                <w:szCs w:val="26"/>
              </w:rPr>
              <w:t>контролируемому</w:t>
            </w:r>
            <w:proofErr w:type="gramEnd"/>
            <w:r w:rsidRPr="00191EA1">
              <w:rPr>
                <w:sz w:val="26"/>
                <w:szCs w:val="26"/>
              </w:rPr>
              <w:t xml:space="preserve">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Выписка из ЕГРЮЛ (ЕГРИП)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Реестр обращений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Протокол осмотра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Акт контрольного мероприятия без взаимодействия с контролируемым лицом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8A12FE">
              <w:rPr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</w:tr>
      <w:tr w:rsidR="005503E0" w:rsidTr="00266521">
        <w:tc>
          <w:tcPr>
            <w:tcW w:w="563" w:type="dxa"/>
            <w:vMerge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:rsidR="005503E0" w:rsidRPr="00330ED0" w:rsidRDefault="005503E0" w:rsidP="00266521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5503E0" w:rsidTr="00266521">
        <w:trPr>
          <w:trHeight w:val="469"/>
        </w:trPr>
        <w:tc>
          <w:tcPr>
            <w:tcW w:w="563" w:type="dxa"/>
            <w:vMerge w:val="restart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</w:p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:rsidR="005503E0" w:rsidRPr="00191EA1" w:rsidRDefault="005503E0" w:rsidP="00266521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5503E0" w:rsidTr="00266521">
        <w:trPr>
          <w:trHeight w:val="547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 xml:space="preserve">Виды </w:t>
            </w:r>
            <w:proofErr w:type="gramStart"/>
            <w:r w:rsidRPr="00191EA1">
              <w:rPr>
                <w:sz w:val="26"/>
                <w:szCs w:val="26"/>
              </w:rPr>
              <w:t>контрольных</w:t>
            </w:r>
            <w:proofErr w:type="gramEnd"/>
            <w:r w:rsidRPr="00191EA1">
              <w:rPr>
                <w:sz w:val="26"/>
                <w:szCs w:val="26"/>
              </w:rPr>
              <w:t xml:space="preserve">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:rsidR="005503E0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Инспекционный визит</w:t>
            </w:r>
          </w:p>
          <w:p w:rsidR="005503E0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Рейдовый осмотр</w:t>
            </w:r>
          </w:p>
          <w:p w:rsidR="005503E0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Выездная проверка</w:t>
            </w:r>
          </w:p>
          <w:p w:rsidR="005503E0" w:rsidRPr="00191EA1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 проверка</w:t>
            </w:r>
          </w:p>
        </w:tc>
      </w:tr>
      <w:tr w:rsidR="005503E0" w:rsidTr="00266521">
        <w:trPr>
          <w:trHeight w:val="711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применяется</w:t>
            </w:r>
            <w:r w:rsidR="0030647D">
              <w:rPr>
                <w:sz w:val="26"/>
                <w:szCs w:val="26"/>
              </w:rPr>
              <w:t xml:space="preserve"> в настоящее время (по положению</w:t>
            </w:r>
            <w:r w:rsidR="008069D1">
              <w:rPr>
                <w:sz w:val="26"/>
                <w:szCs w:val="26"/>
              </w:rPr>
              <w:t xml:space="preserve"> о виде </w:t>
            </w:r>
            <w:r w:rsidR="008069D1">
              <w:rPr>
                <w:sz w:val="26"/>
                <w:szCs w:val="26"/>
              </w:rPr>
              <w:lastRenderedPageBreak/>
              <w:t xml:space="preserve">контроля </w:t>
            </w:r>
            <w:bookmarkStart w:id="0" w:name="_GoBack"/>
            <w:bookmarkEnd w:id="0"/>
            <w:r w:rsidR="0030647D">
              <w:rPr>
                <w:sz w:val="26"/>
                <w:szCs w:val="26"/>
              </w:rPr>
              <w:t xml:space="preserve"> может использоваться)</w:t>
            </w:r>
          </w:p>
        </w:tc>
      </w:tr>
      <w:tr w:rsidR="005503E0" w:rsidTr="00266521">
        <w:trPr>
          <w:trHeight w:val="1259"/>
        </w:trPr>
        <w:tc>
          <w:tcPr>
            <w:tcW w:w="563" w:type="dxa"/>
            <w:vMerge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:rsidR="005503E0" w:rsidRPr="00191EA1" w:rsidRDefault="005503E0" w:rsidP="002665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:rsidR="005503E0" w:rsidRPr="00191EA1" w:rsidRDefault="005503E0" w:rsidP="00266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:rsidR="005503E0" w:rsidRDefault="005503E0" w:rsidP="005503E0"/>
    <w:p w:rsidR="00FE1FE0" w:rsidRDefault="00FE1FE0"/>
    <w:sectPr w:rsidR="00FE1FE0" w:rsidSect="002966CD">
      <w:pgSz w:w="11906" w:h="16838"/>
      <w:pgMar w:top="141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12"/>
    <w:rsid w:val="000054AA"/>
    <w:rsid w:val="0002015E"/>
    <w:rsid w:val="00020AD0"/>
    <w:rsid w:val="00023E98"/>
    <w:rsid w:val="00031130"/>
    <w:rsid w:val="00033E00"/>
    <w:rsid w:val="0003529E"/>
    <w:rsid w:val="00035764"/>
    <w:rsid w:val="00036DB1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3D90"/>
    <w:rsid w:val="000A6714"/>
    <w:rsid w:val="000A7073"/>
    <w:rsid w:val="000B179B"/>
    <w:rsid w:val="000D7770"/>
    <w:rsid w:val="000E22C9"/>
    <w:rsid w:val="000E6705"/>
    <w:rsid w:val="000E7BBA"/>
    <w:rsid w:val="000F168D"/>
    <w:rsid w:val="00102DA9"/>
    <w:rsid w:val="00107F42"/>
    <w:rsid w:val="00112B3D"/>
    <w:rsid w:val="001137C9"/>
    <w:rsid w:val="00132874"/>
    <w:rsid w:val="00141F52"/>
    <w:rsid w:val="00145068"/>
    <w:rsid w:val="0015461C"/>
    <w:rsid w:val="00166D00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E6DC7"/>
    <w:rsid w:val="0030288D"/>
    <w:rsid w:val="0030647D"/>
    <w:rsid w:val="00313C1B"/>
    <w:rsid w:val="003172E9"/>
    <w:rsid w:val="0032155D"/>
    <w:rsid w:val="003221E8"/>
    <w:rsid w:val="00325FBB"/>
    <w:rsid w:val="00353E6E"/>
    <w:rsid w:val="00355BBA"/>
    <w:rsid w:val="00374A7F"/>
    <w:rsid w:val="00380D69"/>
    <w:rsid w:val="00384BF0"/>
    <w:rsid w:val="00390EEF"/>
    <w:rsid w:val="003B0A47"/>
    <w:rsid w:val="003B12BE"/>
    <w:rsid w:val="003E3F7F"/>
    <w:rsid w:val="003E4E0E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4F6FCC"/>
    <w:rsid w:val="00505D91"/>
    <w:rsid w:val="00507F14"/>
    <w:rsid w:val="005256BF"/>
    <w:rsid w:val="00543EB3"/>
    <w:rsid w:val="0054483D"/>
    <w:rsid w:val="005503E0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F10CF"/>
    <w:rsid w:val="00614DDE"/>
    <w:rsid w:val="006249EA"/>
    <w:rsid w:val="006362B6"/>
    <w:rsid w:val="00652EC2"/>
    <w:rsid w:val="00655798"/>
    <w:rsid w:val="00660406"/>
    <w:rsid w:val="00660D4A"/>
    <w:rsid w:val="006610E3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23F8"/>
    <w:rsid w:val="006D3142"/>
    <w:rsid w:val="006D71EB"/>
    <w:rsid w:val="006E07C9"/>
    <w:rsid w:val="006E1CC6"/>
    <w:rsid w:val="006E504F"/>
    <w:rsid w:val="006F7C9D"/>
    <w:rsid w:val="0070000C"/>
    <w:rsid w:val="0070146F"/>
    <w:rsid w:val="007030BC"/>
    <w:rsid w:val="007032A7"/>
    <w:rsid w:val="007046A8"/>
    <w:rsid w:val="00707F88"/>
    <w:rsid w:val="007106E8"/>
    <w:rsid w:val="00712374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90B75"/>
    <w:rsid w:val="007B53A9"/>
    <w:rsid w:val="007C196E"/>
    <w:rsid w:val="007C3401"/>
    <w:rsid w:val="007D187E"/>
    <w:rsid w:val="007D39F0"/>
    <w:rsid w:val="007D7762"/>
    <w:rsid w:val="007E6406"/>
    <w:rsid w:val="008069D1"/>
    <w:rsid w:val="00810C44"/>
    <w:rsid w:val="00826561"/>
    <w:rsid w:val="008265EC"/>
    <w:rsid w:val="008312AD"/>
    <w:rsid w:val="00831E29"/>
    <w:rsid w:val="008414C3"/>
    <w:rsid w:val="00841BEF"/>
    <w:rsid w:val="00860656"/>
    <w:rsid w:val="00863D9A"/>
    <w:rsid w:val="00865476"/>
    <w:rsid w:val="00873E37"/>
    <w:rsid w:val="00883D77"/>
    <w:rsid w:val="00887B52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5EC6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62D12"/>
    <w:rsid w:val="00971478"/>
    <w:rsid w:val="009742AC"/>
    <w:rsid w:val="00977CA2"/>
    <w:rsid w:val="009838F4"/>
    <w:rsid w:val="00986EF7"/>
    <w:rsid w:val="00987703"/>
    <w:rsid w:val="00997F15"/>
    <w:rsid w:val="009A4F87"/>
    <w:rsid w:val="009A629D"/>
    <w:rsid w:val="009B2819"/>
    <w:rsid w:val="009D0A7A"/>
    <w:rsid w:val="009D3A3C"/>
    <w:rsid w:val="009E0735"/>
    <w:rsid w:val="009E5878"/>
    <w:rsid w:val="009F5E65"/>
    <w:rsid w:val="00A003EA"/>
    <w:rsid w:val="00A16792"/>
    <w:rsid w:val="00A16F2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94D79"/>
    <w:rsid w:val="00AA1970"/>
    <w:rsid w:val="00AA786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16417"/>
    <w:rsid w:val="00B36CD4"/>
    <w:rsid w:val="00B42971"/>
    <w:rsid w:val="00B44162"/>
    <w:rsid w:val="00B445A3"/>
    <w:rsid w:val="00B5367A"/>
    <w:rsid w:val="00B73DCF"/>
    <w:rsid w:val="00B76E7F"/>
    <w:rsid w:val="00B77F2E"/>
    <w:rsid w:val="00B86097"/>
    <w:rsid w:val="00BA18A5"/>
    <w:rsid w:val="00BA50A8"/>
    <w:rsid w:val="00BB29D1"/>
    <w:rsid w:val="00BC054A"/>
    <w:rsid w:val="00BD6410"/>
    <w:rsid w:val="00BE216B"/>
    <w:rsid w:val="00C1573A"/>
    <w:rsid w:val="00C437AE"/>
    <w:rsid w:val="00C44C64"/>
    <w:rsid w:val="00C54359"/>
    <w:rsid w:val="00C55452"/>
    <w:rsid w:val="00C619F9"/>
    <w:rsid w:val="00C62443"/>
    <w:rsid w:val="00C62F01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237FE"/>
    <w:rsid w:val="00E2591C"/>
    <w:rsid w:val="00E32DBB"/>
    <w:rsid w:val="00E3311B"/>
    <w:rsid w:val="00E34455"/>
    <w:rsid w:val="00E41284"/>
    <w:rsid w:val="00E47287"/>
    <w:rsid w:val="00E4783B"/>
    <w:rsid w:val="00E52B45"/>
    <w:rsid w:val="00E621C5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B2A40"/>
    <w:rsid w:val="00FB7D74"/>
    <w:rsid w:val="00FC42AB"/>
    <w:rsid w:val="00FC67BA"/>
    <w:rsid w:val="00FD2AA0"/>
    <w:rsid w:val="00FD6BA5"/>
    <w:rsid w:val="00FE1FE0"/>
    <w:rsid w:val="00FE756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31E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31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915&amp;dst=100466" TargetMode="External"/><Relationship Id="rId13" Type="http://schemas.openxmlformats.org/officeDocument/2006/relationships/hyperlink" Target="https://login.consultant.ru/link/?req=doc&amp;base=LAW&amp;n=5113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914&amp;dst=100146" TargetMode="External"/><Relationship Id="rId12" Type="http://schemas.openxmlformats.org/officeDocument/2006/relationships/hyperlink" Target="https://login.consultant.ru/link/?req=doc&amp;base=LAW&amp;n=4477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6" TargetMode="External"/><Relationship Id="rId11" Type="http://schemas.openxmlformats.org/officeDocument/2006/relationships/hyperlink" Target="https://login.consultant.ru/link/?req=doc&amp;base=LAW&amp;n=499475&amp;dst=100003,1" TargetMode="External"/><Relationship Id="rId5" Type="http://schemas.openxmlformats.org/officeDocument/2006/relationships/hyperlink" Target="https://login.consultant.ru/link/?req=doc&amp;base=LAW&amp;n=507296&amp;dst=100005,2" TargetMode="External"/><Relationship Id="rId15" Type="http://schemas.openxmlformats.org/officeDocument/2006/relationships/hyperlink" Target="https://login.consultant.ru/link/?req=doc&amp;base=LAW&amp;n=489041" TargetMode="External"/><Relationship Id="rId10" Type="http://schemas.openxmlformats.org/officeDocument/2006/relationships/hyperlink" Target="https://login.consultant.ru/link/?req=doc&amp;base=LAW&amp;n=465381&amp;dst=100008,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908" TargetMode="External"/><Relationship Id="rId14" Type="http://schemas.openxmlformats.org/officeDocument/2006/relationships/hyperlink" Target="https://login.consultant.ru/link/?req=doc&amp;base=LAW&amp;n=395021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16</cp:revision>
  <cp:lastPrinted>2025-10-10T10:30:00Z</cp:lastPrinted>
  <dcterms:created xsi:type="dcterms:W3CDTF">2025-10-07T04:59:00Z</dcterms:created>
  <dcterms:modified xsi:type="dcterms:W3CDTF">2025-10-10T10:34:00Z</dcterms:modified>
</cp:coreProperties>
</file>